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Aspen Ch2 Supp 2025</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0" w:right="0" w:firstLine="0"/>
        <w:jc w:val="both"/>
        <w:rPr>
          <w:rFonts w:ascii="Palatino" w:cs="Palatino" w:eastAsia="Palatino" w:hAnsi="Palatino"/>
          <w:sz w:val="21"/>
          <w:szCs w:val="21"/>
        </w:rPr>
      </w:pPr>
      <w:r w:rsidDel="00000000" w:rsidR="00000000" w:rsidRPr="00000000">
        <w:rPr>
          <w:rFonts w:ascii="Palatino" w:cs="Palatino" w:eastAsia="Palatino" w:hAnsi="Palatino"/>
          <w:sz w:val="21"/>
          <w:szCs w:val="21"/>
          <w:rtl w:val="0"/>
        </w:rPr>
        <w:t xml:space="preserve">II. Theoretical Underpinnings in Collaborative, Rebellious Lawyering,</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0" w:right="0" w:firstLine="0"/>
        <w:jc w:val="both"/>
        <w:rPr>
          <w:rFonts w:ascii="Palatino" w:cs="Palatino" w:eastAsia="Palatino" w:hAnsi="Palatino"/>
          <w:sz w:val="21"/>
          <w:szCs w:val="21"/>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0" w:right="0" w:firstLine="0"/>
        <w:jc w:val="both"/>
        <w:rPr>
          <w:rFonts w:ascii="Palatino" w:cs="Palatino" w:eastAsia="Palatino" w:hAnsi="Palatino"/>
          <w:sz w:val="21"/>
          <w:szCs w:val="21"/>
        </w:rPr>
      </w:pPr>
      <w:r w:rsidDel="00000000" w:rsidR="00000000" w:rsidRPr="00000000">
        <w:rPr>
          <w:rFonts w:ascii="Palatino" w:cs="Palatino" w:eastAsia="Palatino" w:hAnsi="Palatino"/>
          <w:sz w:val="21"/>
          <w:szCs w:val="21"/>
          <w:rtl w:val="0"/>
        </w:rPr>
        <w:t xml:space="preserve">On page 89 of the text, following the article and notes on Yen, consider two more examples of effective social justice lawyering.</w:t>
      </w:r>
    </w:p>
    <w:p w:rsidR="00000000" w:rsidDel="00000000" w:rsidP="00000000" w:rsidRDefault="00000000" w:rsidRPr="00000000" w14:paraId="00000005">
      <w:pPr>
        <w:keepNext w:val="1"/>
        <w:keepLines w:val="1"/>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300" w:line="278.00000000000006" w:lineRule="auto"/>
        <w:ind w:left="0" w:right="0" w:firstLine="0"/>
        <w:jc w:val="left"/>
        <w:rPr>
          <w:rFonts w:ascii="Palatino" w:cs="Palatino" w:eastAsia="Palatino" w:hAnsi="Palatino"/>
          <w:b w:val="1"/>
          <w:bCs w:val="1"/>
          <w:i w:val="0"/>
          <w:iCs w:val="0"/>
          <w:smallCaps w:val="0"/>
          <w:strike w:val="0"/>
          <w:color w:val="000000"/>
          <w:sz w:val="25"/>
          <w:szCs w:val="25"/>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5"/>
          <w:szCs w:val="25"/>
          <w:u w:val="none"/>
          <w:shd w:fill="auto" w:val="clear"/>
          <w:vertAlign w:val="baseline"/>
          <w:rtl w:val="0"/>
        </w:rPr>
        <w:t xml:space="preserve">C. Example Three: The Immigrant Legal Resource Center</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Legal services support centers provide training and backup support to front line service providers. How can these support centers do their work in a manner that uses rebellious advocacy techniques?</w:t>
      </w:r>
    </w:p>
    <w:p w:rsidR="00000000" w:rsidDel="00000000" w:rsidP="00000000" w:rsidRDefault="00000000" w:rsidRPr="00000000" w14:paraId="00000007">
      <w:pPr>
        <w:keepNext w:val="0"/>
        <w:keepLines w:val="0"/>
        <w:pageBreakBefore w:val="0"/>
        <w:widowControl w:val="0"/>
        <w:pBdr>
          <w:top w:color="a73439" w:space="28" w:sz="4" w:val="single"/>
          <w:left w:space="0" w:sz="0" w:val="nil"/>
          <w:bottom w:space="0" w:sz="0" w:val="nil"/>
          <w:right w:space="0" w:sz="0" w:val="nil"/>
          <w:between w:space="0" w:sz="0" w:val="nil"/>
        </w:pBdr>
        <w:shd w:fill="auto" w:val="clear"/>
        <w:tabs>
          <w:tab w:val="left" w:leader="none" w:pos="300"/>
        </w:tabs>
        <w:spacing w:after="0" w:before="480" w:line="278.00000000000006" w:lineRule="auto"/>
        <w:ind w:left="0" w:right="0" w:firstLine="0"/>
        <w:jc w:val="center"/>
        <w:rPr>
          <w:rFonts w:ascii="Palatino" w:cs="Palatino" w:eastAsia="Palatino" w:hAnsi="Palatino"/>
          <w:b w:val="0"/>
          <w:bCs w:val="0"/>
          <w:i w:val="1"/>
          <w:iCs w:val="1"/>
          <w:smallCaps w:val="0"/>
          <w:strike w:val="0"/>
          <w:color w:val="000000"/>
          <w:sz w:val="25"/>
          <w:szCs w:val="25"/>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5"/>
          <w:szCs w:val="25"/>
          <w:u w:val="none"/>
          <w:shd w:fill="auto" w:val="clear"/>
          <w:vertAlign w:val="baseline"/>
          <w:rtl w:val="0"/>
        </w:rPr>
        <w:t xml:space="preserve">Bill Ong Hing, Legal Services Support Centers and Rebellious Advocacy: A Case Study of the Immigrant Legal Resource Center</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80" w:before="0" w:line="278.00000000000006" w:lineRule="auto"/>
        <w:ind w:left="0" w:right="0" w:firstLine="0"/>
        <w:jc w:val="center"/>
        <w:rPr>
          <w:rFonts w:ascii="Open Sans" w:cs="Open Sans" w:eastAsia="Open Sans" w:hAnsi="Open Sans"/>
          <w:b w:val="0"/>
          <w:bCs w:val="0"/>
          <w:i w:val="0"/>
          <w:iCs w:val="0"/>
          <w:smallCaps w:val="0"/>
          <w:strike w:val="0"/>
          <w:color w:val="000000"/>
          <w:sz w:val="19"/>
          <w:szCs w:val="19"/>
          <w:u w:val="none"/>
          <w:shd w:fill="auto" w:val="clear"/>
          <w:vertAlign w:val="baseline"/>
        </w:rPr>
      </w:pPr>
      <w:r w:rsidDel="00000000" w:rsidR="00000000" w:rsidRPr="00000000">
        <w:rPr>
          <w:rFonts w:ascii="Open Sans" w:cs="Open Sans" w:eastAsia="Open Sans" w:hAnsi="Open Sans"/>
          <w:b w:val="0"/>
          <w:bCs w:val="0"/>
          <w:i w:val="0"/>
          <w:iCs w:val="0"/>
          <w:smallCaps w:val="0"/>
          <w:strike w:val="0"/>
          <w:color w:val="000000"/>
          <w:sz w:val="19"/>
          <w:szCs w:val="19"/>
          <w:u w:val="none"/>
          <w:shd w:fill="auto" w:val="clear"/>
          <w:vertAlign w:val="baseline"/>
          <w:rtl w:val="0"/>
        </w:rPr>
        <w:t xml:space="preserve">28 Wash. U. J.L. &amp; Pol’y 265 (2008)</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Introduction</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By the early 1990s, parents who obtained legal status under the Immigration Reform and Control Act of 1986 (“IRCA”) organized press conferences, letter-writing, and petition drives targeting policy-makers who could address IRCA’s failure to provide legal status for their undocumented children who entered the country after 1988. Through intense community education, media work, and lobbying efforts, immigration officials promulgated a family fairness regulation that was eventually codified by Congress, thereby preventing the family separation that IRCA had failed to address. The immigrant parents group that led these efforts, El Comite de Padres Unidos, was formed with the assistance of a staff attorney from the Immigrant Legal Resource Center (“ILRC”), who then developed an organizing and leadership training program for the parents. Padres Unidos has gone on to engage in a series of other campaigns. For example, members gathered more than 35,000 signatures to convince Congress to extend another immigration provision that would enable prospective immigrants to complete their immigration paperwork in the United States, without having to depart the country in fear of being excluded upon return.</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These civic engagement examples are the results of community lawyering or social change lawyering in which the staff of the ILRC has been engaged for almost thirty years. This client- and community-centered lawyering developed from the staff’s day-to-day experience with clients, families, and allies who demonstrated the talent, intelligence, and desire to engage in a collaborative approach to addressing the problems that they faced. Practicing in this collaborative or rebellious mode has become natural to the staff of the ILRC. The staff has come to realize that immigrant communities deserve our respect as trusted, competent partners.</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I. A Brief Description of the Immigrant Legal Resource Center</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Today, the ILRC is a national resource center that provides trainings, materials and advocacy to advance immigrant rights. The program has six staff attorneys and usually two to four law student clerks. As a legal services support center, the ILRC provides training on immigration law and procedure to legal services attorneys and paralegals, private attorneys who provide pro bono services to indigent clients, and staff from community-based organizations. However, the organization also provides community education and training programs to immigrant communities on immigrant rights, civic participation, and advocacy, as well as educational materials to policy-makers and other advocacy organizations.</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ILRC’s areas of expertise are broad. In the area of immigration law and procedure, the ILRC has developed expertise in a range of topics including asylum, family-based immigration, naturalization and citizenship, immigration consequences of criminal convictions, removal proceedings and relief, the Nicaraguan Adjustment and Central American Relief Act, inadmissibility and waivers of inadmissibility, immigration relief for abused immigrant women and children, and immigration consultant fraud. Its more innovative expertise includes grassroots capacity building, media outreach, and leadership development. Program services include telephone and email technical assistance, policy and legal analysis, trainings and seminars, manuals, litigation support (including representing clients, finding clients for class action cases, filing amicus briefs, serving as expert witnesses), and on-site technical assistance and case review.</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III. ILRC Civic Participation Initiative</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A. ILRC Grassroots Advocacy Campaigns</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Through its long-term work with immigrants and immigrant service organizations, the ILRC has learned that many immigrants want to stay abreast of immigration law and policy and look for avenues to voice their opinions or concerns. The ILRC’s grassroots advocacy work takes advantage of that interest to encourage immigrants and the organizations that serve them to actively advocate for change. Grassroots organizing and advocacy are particularly important today, given the prevalence of anti-immigrant sentiment.</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ILRC recognizes the vital role that immigrant service providers in the community can play in the development of grassroots efforts. These agencies have a special relationship with newcomers, and they are well positioned to help immigrants become more active. The ILRC partners with these organizations to work with immigrants in their quest for better immigration policies. The day-to-day collaboration focuses on advocacy projects and the development of resource materials for advocacy work in which other CBOs and communities may be engaged. The results have been positive; grassroots immigrant advocates successfully have influenced immigration policy at the local and national levels, while developing organizing strength and capacity in their communities.</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ILRC’s manuals and resource materials on grassroots advocacy guide community groups through the steps necessary for an advocacy program that includes the participation of community residents. The materials commonly are used by attorneys, paralegals, English as Second Language (“ESL”) and citizenship teachers, social workers, community leaders, and CBOs. The materials cover a range of topics, including leadership training, organizing tools, establishing relationships with federal immigration officials, general immigration law, the naturalization and citizenship process, political asylum, immigration options for survivors of domestic violence and children in foster care, and the immigration consequences of criminal convictions. The ILRC also provides phone consultations to organizations and individuals engaged in advocacy campaigns.</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ILRC’s community grassroots advocacy campaign has several goals: to encourage immigrants to speak about what concerns them; to get local advocates or organizers to hear those concerns and to help develop strategies for addressing the concerns; to promote immigrant participation and leadership in these efforts; and to implement strategies. Although the specific objectives and target audiences may vary, each ILRC campaign addresses these community advocacy goals. Campaigns generally include the following components: a focus on local advocates, organizers or organizations; coordination with other related advocacy campaigns; community education campaigns; community meetings; presentation of issues and immigrants’ stories to media; petition and letter-writing efforts; community support of individual cases; and formation of immigrant committees and networks.</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60" w:before="120" w:line="278.00000000000006" w:lineRule="auto"/>
        <w:ind w:left="0" w:right="0" w:firstLine="0"/>
        <w:jc w:val="center"/>
        <w:rPr>
          <w:rFonts w:ascii="Palatino" w:cs="Palatino" w:eastAsia="Palatino" w:hAnsi="Palatino"/>
          <w:b w:val="1"/>
          <w:bCs w:val="1"/>
          <w:i w:val="1"/>
          <w:iCs w:val="1"/>
          <w:smallCaps w:val="0"/>
          <w:strike w:val="0"/>
          <w:color w:val="000000"/>
          <w:sz w:val="21"/>
          <w:szCs w:val="21"/>
          <w:u w:val="none"/>
          <w:shd w:fill="auto" w:val="clear"/>
          <w:vertAlign w:val="baseline"/>
        </w:rPr>
      </w:pPr>
      <w:r w:rsidDel="00000000" w:rsidR="00000000" w:rsidRPr="00000000">
        <w:rPr>
          <w:rFonts w:ascii="Palatino" w:cs="Palatino" w:eastAsia="Palatino" w:hAnsi="Palatino"/>
          <w:b w:val="1"/>
          <w:bCs w:val="1"/>
          <w:i w:val="1"/>
          <w:iCs w:val="1"/>
          <w:smallCaps w:val="0"/>
          <w:strike w:val="0"/>
          <w:color w:val="000000"/>
          <w:sz w:val="21"/>
          <w:szCs w:val="21"/>
          <w:u w:val="none"/>
          <w:shd w:fill="auto" w:val="clear"/>
          <w:vertAlign w:val="baseline"/>
          <w:rtl w:val="0"/>
        </w:rPr>
        <w:t xml:space="preserve">2. Coordination with Other Related Advocacy Campaigns</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While immigration enforcement policies and procedures often are controlled by the priority choices of local officials, federal immigration laws and major enforcement policies that affect communities are controlled by lawmakers and officials in Washington, D.C. That has important ramifications for the ILRC’s locally-focused, grassroots advocacy campaigns. Certainly, those efforts can be critical in addressing locally-controlled decisions by federal, state, and local officials, but the ILRC understands that influencing national decisions raises different dimensions.</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Generally, the focus of community advocacy is local — eliciting immigrants’ ideas and concerns and encouraging development of advocacy skills in the context of making those concerns heard. Since many immigrant concerns are about policies made at a federal level, local campaigns must be fashioned to influence federal policy-makers. Obviously, immigrant rights advocates in Washington, D.C., play an important role in that regard. The ILRC believes that local community advocacy focused on national immigration policy can have far-reaching effects when it informs and develops in coordination with immigrant advocates in Washington, D.C. And in its rebellious, collaborative mode, the ILRC believes that national advocacy efforts should be guided by immigrants’ accounts of the effects of immigration policy on their lives and their communities.</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its work with immigrant communities and immigrant service organizations on local campaigns that highlight needed change in national immigration policy, the ILRC strives to tie those campaigns to national advocacy efforts. Over the years, ILRC staff members have developed a good reputation as authorities and advocates on a range of national immigration policy issues. Policy positions advocated by the ILRC to the offices of national policy-makers are informed by the strong relationships that the ILRC has with immigrants, immigrant leaders, and CBO staffs. Collaboration with these individuals and groups inform the ILRC’s understanding of specific changes that may be needed. The ILRC also coordinates closely with national advocacy groups like the National Immigration Forum, the National Immigration Project of the National Lawyers’ Guild, the National Council of La Raza, the Asian American Justice Center, the National Immigration Law Center, and the Immigrant Justice Network, as well as with members of Congress. When immigrants and the groups that serve them give ILRC staff attorneys ideas, priorities, compelling stories and information from the streets, that information is passed on to congressional staff or D.C. advocates who lobby for change. The ILRC also has promoted the direct participation of immigrants and immigrant leaders in the national policy debate by helping those individuals plan and implement press conferences and meetings with Congressional staff members locally and in D.C.</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60" w:before="120" w:line="278.00000000000006" w:lineRule="auto"/>
        <w:ind w:left="0" w:right="0" w:firstLine="0"/>
        <w:jc w:val="center"/>
        <w:rPr>
          <w:rFonts w:ascii="Palatino" w:cs="Palatino" w:eastAsia="Palatino" w:hAnsi="Palatino"/>
          <w:b w:val="1"/>
          <w:bCs w:val="1"/>
          <w:i w:val="1"/>
          <w:iCs w:val="1"/>
          <w:smallCaps w:val="0"/>
          <w:strike w:val="0"/>
          <w:color w:val="000000"/>
          <w:sz w:val="21"/>
          <w:szCs w:val="21"/>
          <w:u w:val="none"/>
          <w:shd w:fill="auto" w:val="clear"/>
          <w:vertAlign w:val="baseline"/>
        </w:rPr>
      </w:pPr>
      <w:r w:rsidDel="00000000" w:rsidR="00000000" w:rsidRPr="00000000">
        <w:rPr>
          <w:rFonts w:ascii="Palatino" w:cs="Palatino" w:eastAsia="Palatino" w:hAnsi="Palatino"/>
          <w:b w:val="1"/>
          <w:bCs w:val="1"/>
          <w:i w:val="1"/>
          <w:iCs w:val="1"/>
          <w:smallCaps w:val="0"/>
          <w:strike w:val="0"/>
          <w:color w:val="000000"/>
          <w:sz w:val="21"/>
          <w:szCs w:val="21"/>
          <w:u w:val="none"/>
          <w:shd w:fill="auto" w:val="clear"/>
          <w:vertAlign w:val="baseline"/>
          <w:rtl w:val="0"/>
        </w:rPr>
        <w:t xml:space="preserve">3. Community Meetings</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goal of community meetings is to link issues in the community with advocacy. In the meetings, immigrants and their supporters are presented with information about laws and policies that affect them and their communities. The immigrants’ concerns and their ideas for involvement in advocacy are elicited, and the ILRC works with the group to shape and focus the messages the community wants to communicate on particular issues. These early steps lay the groundwork for the community’s ability to develop and implement strategies to respond to issues of concern. Thousands of letters and petition signatures also have been gathered to address various issues identified at such community meetings.</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using community meetings as the impetus for advocacy, often with partner organizations, the ILRC has attracted thousands of participants. The effort is particularly effective when an immigrant service organization and the ILRC partner with a CBO that provides non-immigration services and can attract many new immigrant constituents. The family unification campaign ILRC conducted in partnership with SVOC was initiated in response to feedback from these types of community meetings in rural communities of California’s central valley. Meetings with local ICE and USCIS offices to address community concerns were initiated through this effort.</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To attract interest in these events, the ILRC presentations feature updates and explanations of relevant immigration laws and current enforcement issues, as well as the opportunity for a free consultation with an immigration attorney. Private and nonprofit immigration lawyers and paralegals are recruited to participate in these meetings, and the ILRC has created a one-page screening sheet to help the volunteers provide quick and accurate consultations at community meetings. This instrument, which makes it efficient for legal workers to provide many consultations, has been provided to other organizations who sponsor their own community meetings.</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Community meetings have enabled the ILRC and other advocates to learn what issues are important to the communities they serve and how the communities believe matters should be addressed. The meetings provide opportunities for immigrants to convey their concerns and ideas in a meaningful, respectful setting attended by neighbors, supporters, and advocates. An atmosphere that is open to conversation and brainstorming can be very energizing. The exchange of ideas also can identify many levels and types of involvement, making participation accessible and meaningful. The meetings bring together hundreds of people who might not otherwise be exposed to such information and ideas. The open, respectful environment facilitates the development of a working relationship between the community and organizations that participate. The meetings often represent a first step in building immigrant-based neighborhood committees to address the community’s concerns.</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ILRC has learned that serious thought must be given to how to plan and conduct effective follow-up meetings. Key roles for community members and leaders must be identified and defined. Training in key skills needed for a campaign must be considered, including such things as writing a press release and planning and presenting a press conference, public speaking and organizing, holding a community meeting, and negotiating. Issues must be clarified as the campaign is planned, and a future meeting schedule must be developed.</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Some examples of community meetings the ILRC has worked on include:</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ILRC held several meetings with partners in the Central Valley Project to provide information to the immigrant community about filing visa petitions by April 30, 2001, to benefit from the extension of INA §245(i), that permitted beneficiaries of visa petitions to complete their immigration paperwork in the United States, thereby avoiding departure from the United States and triggering multi-year bars to reentry. These meetings played a pivotal role in educating and organizing the immigrant community around convincing Congress to extend §245(i).</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ILRC held a meeting co-sponsored by Proyecto Campesino, a farm labor project of the American Friends Services Committee, in Visalia, California. ILRC attorneys gave an overview of immigration laws and provided individual consultations for attendees. Meanwhile, the meeting provided Proyecto Campesino and the Tulare County Civic Action League with an opportunity to talk to the community about their civic participation efforts and to publicize Proyecto Campesino’s immigration services.</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At the invitation of Fresno Leadership Foundation (“FLF”), the ILRC attended a community meeting in Coalinga, California, a town that is 45 percent Latino with no non-profit, community-based immigration service providers. The goal of the meeting was to provide immigrants with accurate information about immigration and naturalization requirements and to help protect them from exploitation by expensive and potentially unscrupulous immigration consultants. Providing free immigration consultations attracted a large audience that learned about FLF’s organizing efforts to persuade Coalinga’s Welcome Center to serve its immigrant residents and how to become more involved.</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ILRC has been involved in numerous community meetings helping to educate and organize immigrants around several legislative issues that are on the federal and statewide agendas. Some of these issues have included: a legalization (amnesty) law, accessibility of drivers’ licenses for all immigrants, in-state college tuition for immigrants in the process of becoming lawful permanent residents, and lawful permanent residence status for some high school graduates. These community meetings have generated significant assistance to youth who have been organizing around the issues of advocacy for in-state college tuition fees and permanent residence status for undocumented high school graduates (the DREAM Act). In 2002, the ILRC’s joint education efforts with these youth and their supporters helped to persuade the University of California Board of Regents to charge undocumented youth in-state, rather than out-of-state, tuition fees.</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60" w:before="120" w:line="278.00000000000006" w:lineRule="auto"/>
        <w:ind w:left="0" w:right="0" w:firstLine="0"/>
        <w:jc w:val="center"/>
        <w:rPr>
          <w:rFonts w:ascii="Palatino" w:cs="Palatino" w:eastAsia="Palatino" w:hAnsi="Palatino"/>
          <w:b w:val="1"/>
          <w:bCs w:val="1"/>
          <w:i w:val="1"/>
          <w:iCs w:val="1"/>
          <w:smallCaps w:val="0"/>
          <w:strike w:val="0"/>
          <w:color w:val="000000"/>
          <w:sz w:val="21"/>
          <w:szCs w:val="21"/>
          <w:u w:val="none"/>
          <w:shd w:fill="auto" w:val="clear"/>
          <w:vertAlign w:val="baseline"/>
        </w:rPr>
      </w:pPr>
      <w:r w:rsidDel="00000000" w:rsidR="00000000" w:rsidRPr="00000000">
        <w:rPr>
          <w:rFonts w:ascii="Palatino" w:cs="Palatino" w:eastAsia="Palatino" w:hAnsi="Palatino"/>
          <w:b w:val="1"/>
          <w:bCs w:val="1"/>
          <w:i w:val="1"/>
          <w:iCs w:val="1"/>
          <w:smallCaps w:val="0"/>
          <w:strike w:val="0"/>
          <w:color w:val="000000"/>
          <w:sz w:val="21"/>
          <w:szCs w:val="21"/>
          <w:u w:val="none"/>
          <w:shd w:fill="auto" w:val="clear"/>
          <w:vertAlign w:val="baseline"/>
          <w:rtl w:val="0"/>
        </w:rPr>
        <w:t xml:space="preserve">8. Formation of Immigrant Committees and Networks</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ILRC strongly advocates that organizers, legal workers and community members, who decide to work together on an issue form an immigrant-led committee to manage the cooperative work. For example, Guadalupe Ortiz (who has since joined the ILRC board of directors) acknowledges that she became involved with what would eventually become the immigrant committee Padres Unidos because its founding members were working with the ILRC to advocate a Family Unity that would unite her own family. She remained active with the group, and ultimately became co-coordinator because it empowered her personally as well as her community.</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ILRC believes that forming and developing these committees provides an important basis of building power in immigrant communities. Staff attorneys encourage individuals to form committees both to work on a particular issue and to institutionalize efforts to address many issues that benefit or concern the community on an ongoing basis. In addition to a committee’s function of eliciting community members’ ideas and concerns and engaging in community education, the ILRC encourages committees to develop liaison relationships with local USCIS and ICE offices, develop petition and letter-writing campaigns, host civic skills trainings for community members, and develop relationships with other groups working on the same issue in the region. To help committees form and develop, the ILRC co-sponsors community education and advocacy programs with immigrant-led committees and provides leadership training to committee members. In some cases, the ILRC helps the committees develop as organizations over the long term, by attending meetings, helping to fundraise, or serving as advisor.</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ILRC also helps develop networks of organizations that share information and ideas to work together on a common issue. For example, the ILRC helped to organize three networks of service providers who work with immigrant victims of domestic violence. These networks bring together agencies on a quarterly basis that provide immigration and other legal services, mental and medical health services, social services (counseling, access to public benefits, job training and placement, and domestic violence shelters), and law enforcement. The networks meet in the Fresno, Stockton, Napa, and Solano areas to share experiences and information. The ILRC also works with a partnership of diverse organizations in California’s Central Valley to promote citizenship and civic participation.</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B. Developing Leadership Skills</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60" w:before="120" w:line="278.00000000000006" w:lineRule="auto"/>
        <w:ind w:left="0" w:right="0" w:firstLine="0"/>
        <w:jc w:val="both"/>
        <w:rPr>
          <w:rFonts w:ascii="Palatino" w:cs="Palatino" w:eastAsia="Palatino" w:hAnsi="Palatino"/>
          <w:b w:val="1"/>
          <w:bCs w:val="1"/>
          <w:i w:val="1"/>
          <w:iCs w:val="1"/>
          <w:smallCaps w:val="0"/>
          <w:strike w:val="0"/>
          <w:color w:val="000000"/>
          <w:sz w:val="21"/>
          <w:szCs w:val="21"/>
          <w:u w:val="none"/>
          <w:shd w:fill="auto" w:val="clear"/>
          <w:vertAlign w:val="baseline"/>
        </w:rPr>
      </w:pPr>
      <w:r w:rsidDel="00000000" w:rsidR="00000000" w:rsidRPr="00000000">
        <w:rPr>
          <w:rFonts w:ascii="Palatino" w:cs="Palatino" w:eastAsia="Palatino" w:hAnsi="Palatino"/>
          <w:b w:val="1"/>
          <w:bCs w:val="1"/>
          <w:i w:val="1"/>
          <w:iCs w:val="1"/>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60" w:before="120" w:line="278.00000000000006" w:lineRule="auto"/>
        <w:ind w:left="0" w:right="0" w:firstLine="0"/>
        <w:jc w:val="center"/>
        <w:rPr>
          <w:rFonts w:ascii="Palatino" w:cs="Palatino" w:eastAsia="Palatino" w:hAnsi="Palatino"/>
          <w:b w:val="1"/>
          <w:bCs w:val="1"/>
          <w:i w:val="1"/>
          <w:iCs w:val="1"/>
          <w:smallCaps w:val="0"/>
          <w:strike w:val="0"/>
          <w:color w:val="000000"/>
          <w:sz w:val="21"/>
          <w:szCs w:val="21"/>
          <w:u w:val="none"/>
          <w:shd w:fill="auto" w:val="clear"/>
          <w:vertAlign w:val="baseline"/>
        </w:rPr>
      </w:pPr>
      <w:r w:rsidDel="00000000" w:rsidR="00000000" w:rsidRPr="00000000">
        <w:rPr>
          <w:rFonts w:ascii="Palatino" w:cs="Palatino" w:eastAsia="Palatino" w:hAnsi="Palatino"/>
          <w:b w:val="1"/>
          <w:bCs w:val="1"/>
          <w:i w:val="1"/>
          <w:iCs w:val="1"/>
          <w:smallCaps w:val="0"/>
          <w:strike w:val="0"/>
          <w:color w:val="000000"/>
          <w:sz w:val="21"/>
          <w:szCs w:val="21"/>
          <w:u w:val="none"/>
          <w:shd w:fill="auto" w:val="clear"/>
          <w:vertAlign w:val="baseline"/>
          <w:rtl w:val="0"/>
        </w:rPr>
        <w:t xml:space="preserve">1. The Immigrant Leadership Training Curriculum</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center"/>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Teaching Immigrants’ Rights</w:t>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unfortunate history of enforcement raids in immigrant communities has led to the need for response trainings in affected communities. ILRC initiated trainings for immigrant leaders at the request of immigrant-led groups who wanted to educate their communities about the constitutional rights of immigrants who are questioned or detained by immigration agents. The unit has been presented countless times to train hundreds of leaders who have in turn educated thousands in immigrant communities.</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unit prepares leaders to conduct “know your rights” presentations in vulnerable communities. Most of the training content is identical to the presentations the leaders eventually will make. The training often begins with a viewing of the video,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La Redada</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(“The Raid”), that emphasizes the great risk of using false papers and the importance of knowing and asserting one’s rights, even under challenging conditions. The trainer refers to characters and events in the videotape, while discussing what rights are constitutionally guaranteed to everyone in the United States, and how they can be exercised in the immigration context.</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use of roleplays is critical in teaching leaders and ultimately other community residents how to assert their rights. The leaders participate in roleplays, initially modeled by trainers, acting as ICE agents trying to obtain incriminating evidence and an undocumented immigrant resisting. This is repeated in trainings to the community. Each leader also practices a “know your rights” presentation in a small group that is evaluated by other trainees.</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center"/>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Advanced Leadership Training</w:t>
      </w: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Advanced Leadership Training is designed to strengthen the skills participants learned in the initial training by getting participants to (1) teach those skills to new leaders and (2) use the skills to identify, plan and conduct CAPs in their community. Each leader who participates in the Advanced Leadership Training has used the basic skills in the community developed in the Basic Skills training and prepared with the trainer to present a part of the advanced training. Many of the participants in the Basic Skills training decide to go on to the advanced program to further develop their association with the trainers and sponsoring organization.</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main part of the advanced training is presented in conjunction with CAPs, which are small-group campaigns chosen, designed, and carried forth by leaders as a means of addressing problems facing their communities. CAPs provide a forum for leaders to utilize leadership skills developed in the basic training while they work on a campaign that addresses real problems within their community. The first of two training units on CAPs explains their purpose and outlines the processes of problem solving and group collaboration. Upon completion of this introductory training, the leaders formulate CAPs topics by breaking into small groups, that will carry out advocacy campaigns over several months. The second unit is comprised of a “CAPs Update Meeting” when several CAPs groups come together to update each other on their campaigns.</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C. Working with Clients as Partners</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120" w:before="12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19"/>
          <w:szCs w:val="19"/>
          <w:u w:val="none"/>
          <w:shd w:fill="auto" w:val="clear"/>
          <w:vertAlign w:val="baseline"/>
          <w:rtl w:val="0"/>
        </w:rPr>
        <w:t xml:space="preserve">Imagine that your child’s teacher has recommended that she be placed in an accelerated learning program that involves a complex application process. The program administrator tells you, “The application is too complicated for you to complete. I will take care of it.” Imagine then that the program administrator asks, “Do you regularly read to your child? Have you established a regular place and schedule for her homework? Is she in a quality after-school program?” You may feel relieved that you don’t have to make complex decisions and complete complicated paperwork. But you may also wonder whether these questions imply that you should have done more for your child. You may be concerned that how you answer the questions may jeopardize her entry into the program.</w:t>
      </w: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120" w:before="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ab/>
      </w:r>
      <w:r w:rsidDel="00000000" w:rsidR="00000000" w:rsidRPr="00000000">
        <w:rPr>
          <w:rFonts w:ascii="Palatino" w:cs="Palatino" w:eastAsia="Palatino" w:hAnsi="Palatino"/>
          <w:b w:val="0"/>
          <w:bCs w:val="0"/>
          <w:i w:val="1"/>
          <w:iCs w:val="1"/>
          <w:smallCaps w:val="0"/>
          <w:strike w:val="0"/>
          <w:color w:val="000000"/>
          <w:sz w:val="19"/>
          <w:szCs w:val="19"/>
          <w:u w:val="none"/>
          <w:shd w:fill="auto" w:val="clear"/>
          <w:vertAlign w:val="baseline"/>
          <w:rtl w:val="0"/>
        </w:rPr>
        <w:t xml:space="preserve">Now imagine instead that you are told, “This is a complex process, so it will take the two of us working together to get it done. Let’s talk about what the program involves and what the qualifications are so we can decide whether it’s the right thing for you and your daughter. Then we’ll talk about what we need to do to complete a successful application.”</w:t>
      </w: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Not surprisingly, many immigrants feel that certain settings and institutions in the United States are challenging and difficult to navigate. This can affect their capacity to seek benefits or other subsidies that their families may need. The challenge can also prevent many immigrants from expressing their concerns about how institutions and policies affect them.</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ILRC has found in its own work with individual clients that treating clients as partners in their cases helps them gain confidence and skills needed to meet such challenges. This collaborative approach is advocated to immigration service providers in several ways. First, in providing training and advice to immigrant service providers, the ILRC stresses how treating clients as partners in their cases contributes to the development of more effective case strategies and advocacy. Second, the ILRC urges immigrant service organizations to undertake the range of activities discussed above to enhance client and community empowerment. Through its manuals, trainings, and consultations, the ILRC asks immigrant service providers to engage in exercises like the ones described to recognize that, like the alternative message to the parent presented above, they have opportunities to empower their clients in the manner in which they provide services. Third, based on its experience working with clients as partners, the ILRC has created models and materials that can make working in partnership with clients easier and more efficient than traditional service delivery models.</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This section describes cases on which the ILRC has worked using a participatory approach. The models and materials developed are based on those experiences to encourage and assist service providers to work with clients collaboratively.</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60" w:before="120" w:line="278.00000000000006" w:lineRule="auto"/>
        <w:ind w:left="0" w:right="0" w:firstLine="0"/>
        <w:jc w:val="center"/>
        <w:rPr>
          <w:rFonts w:ascii="Palatino" w:cs="Palatino" w:eastAsia="Palatino" w:hAnsi="Palatino"/>
          <w:b w:val="1"/>
          <w:bCs w:val="1"/>
          <w:i w:val="1"/>
          <w:iCs w:val="1"/>
          <w:smallCaps w:val="0"/>
          <w:strike w:val="0"/>
          <w:color w:val="000000"/>
          <w:sz w:val="21"/>
          <w:szCs w:val="21"/>
          <w:u w:val="none"/>
          <w:shd w:fill="auto" w:val="clear"/>
          <w:vertAlign w:val="baseline"/>
        </w:rPr>
      </w:pPr>
      <w:r w:rsidDel="00000000" w:rsidR="00000000" w:rsidRPr="00000000">
        <w:rPr>
          <w:rFonts w:ascii="Palatino" w:cs="Palatino" w:eastAsia="Palatino" w:hAnsi="Palatino"/>
          <w:b w:val="1"/>
          <w:bCs w:val="1"/>
          <w:i w:val="1"/>
          <w:iCs w:val="1"/>
          <w:smallCaps w:val="0"/>
          <w:strike w:val="0"/>
          <w:color w:val="000000"/>
          <w:sz w:val="21"/>
          <w:szCs w:val="21"/>
          <w:u w:val="none"/>
          <w:shd w:fill="auto" w:val="clear"/>
          <w:vertAlign w:val="baseline"/>
          <w:rtl w:val="0"/>
        </w:rPr>
        <w:t xml:space="preserve">1. Cases</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While handling individual immigration cases is not a significant part of ILRC’s mission today, the program has represented clients in many challenging cases. From the time the ILRC was founded in 1989 through the mid-1990s, the ILRC handled hundreds of cases through its supervision of students in immigration law school clinics at Stanford Law School and Golden Gate University, School of Law. During this time, the ILRC staff attorneys represented several high-profile asylum seekers, including several from China who spent years in government custody after the ship that smuggled them ran a[g]round in New York harbor. [This incident is described more thoroughly in Chapter 1.] From 1987 to 1990, ILRC attorneys represented Patrick Mtoto, a black South African, arguing that he was entitled to asylum because the apartheid system per se persecuted blacks like Mr. Mtoto. ILRC attorneys and students working under their supervision systematically incorporated client empowerment ideals and methods into every case. The lessons they learned from that work informed the models and materials described below that were developed for other immigration service providers.</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Law students, working through ILRC’s East Palo Alto office, regularly spent hours discussing why and how to work with clients collaboratively before they started working on their assigned cases. From the start, they talked with their clients about working as a team on the case. They explained the requirements of the immigration provision that governed the case and the rationale behind the rules and laws. They referred to those requirements when they interviewed clients to help them understand why it was important to be candid and thorough, even about personal matters. They asked for, discussed, and took seriously their clients’ ideas about how to handle their cases. They encouraged clients to take responsibility for identifying from whom and where to get necessary documentation like letters and declarations, and then obtaining those documents. They helped the clients identify and figure out solutions to their concerns about gathering documents, such as writing out the reason and instructions for a declaration if the client needed notes to explain these things to the potential declarant. Students and their clients developed “to do” lists and committed to completing their responsibilities. They listened sympathetically to clients’ accounts and feelings about events; they were attentive to clients’ views and concerns that did not appear to be immediately related to their cases.</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Often, the atmosphere of mutual trust would result in clients relating critical information that otherwise might not have been revealed. Just as important, the clients felt acknowledged and respected, and they functioned better during government interviews and in immigration court. Many clients who would start out passive or afraid became effective partners in their cases — expressing their concerns about the case, developing ideas, and identifying and gathering important documentation.</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60" w:before="120" w:line="278.00000000000006" w:lineRule="auto"/>
        <w:ind w:left="0" w:right="0" w:firstLine="0"/>
        <w:jc w:val="center"/>
        <w:rPr>
          <w:rFonts w:ascii="Palatino" w:cs="Palatino" w:eastAsia="Palatino" w:hAnsi="Palatino"/>
          <w:b w:val="1"/>
          <w:bCs w:val="1"/>
          <w:i w:val="1"/>
          <w:iCs w:val="1"/>
          <w:smallCaps w:val="0"/>
          <w:strike w:val="0"/>
          <w:color w:val="000000"/>
          <w:sz w:val="21"/>
          <w:szCs w:val="21"/>
          <w:u w:val="none"/>
          <w:shd w:fill="auto" w:val="clear"/>
          <w:vertAlign w:val="baseline"/>
        </w:rPr>
      </w:pPr>
      <w:r w:rsidDel="00000000" w:rsidR="00000000" w:rsidRPr="00000000">
        <w:rPr>
          <w:rFonts w:ascii="Palatino" w:cs="Palatino" w:eastAsia="Palatino" w:hAnsi="Palatino"/>
          <w:b w:val="1"/>
          <w:bCs w:val="1"/>
          <w:i w:val="1"/>
          <w:iCs w:val="1"/>
          <w:smallCaps w:val="0"/>
          <w:strike w:val="0"/>
          <w:color w:val="000000"/>
          <w:sz w:val="21"/>
          <w:szCs w:val="21"/>
          <w:u w:val="none"/>
          <w:shd w:fill="auto" w:val="clear"/>
          <w:vertAlign w:val="baseline"/>
          <w:rtl w:val="0"/>
        </w:rPr>
        <w:t xml:space="preserve">4. Group Processing Model</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ILRC promotes a “group processing” model of service for individuals who may be eligible for an immigration benefit such as naturalization or immigration through a relative. The model has five goals in the process of teaching immigrants about certain immigration benefits. The first community education step seeks to empower immigrants by providing information that demystifies legal provisions that can provide security and stability. Second, the model seeks to build confidence that enhances the development of civic participation skills by working with applicants to analyze, make decisions, gather documents, and complete immigration forms. Third, because detailed explanations of legal requirements and potential risks are critical for every case, group processing workshops focus on minimizing the risks for applicants. Fourth, the model is an efficient means of providing certain immigration services, that helps more individuals in a shorter period of time. Fifth, group processing workshops are ideal forums for leaders and other advocates from the community to develop knowledge and leadership skills to serve the community.</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group processing model involves at least two sessions held in a convenient place in the community. The information session covers the benefits of a particular immigration provision, its requirements, the potential risks, and the application procedures. Applicants are instructed to try to complete draft application forms and to gather required documents before the second session. At the second session, all the applicants and a legal worker participate in a group discussion of difficult or potentially risky parts of the application. Applicants complete actual application forms, legal workers review the applications for potential problems, supporting documents are checked, and applicants copy and mail in the applications. The naturalization group processing model also includes a third workshop in which applicants practice their USCIS naturalization interviews.</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ILRC attorneys have presented countless group processing workshops that have facilitated the filings of hundreds of Family Unity, family-based immigrant visas, and naturalization forms. Based on these experiences and the related experience of several other CBOs, the ILRC developed three step-by-step manuals to assist immigrant service organizations to provide group processing in their communities. Several hundred such manuals have been distributed and dozens of organizations have conducted successful group processing programs.</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D. Advocacy and Outreach Through Media</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60" w:before="120" w:line="278.00000000000006" w:lineRule="auto"/>
        <w:ind w:left="0" w:right="0" w:firstLine="0"/>
        <w:jc w:val="both"/>
        <w:rPr>
          <w:rFonts w:ascii="Palatino" w:cs="Palatino" w:eastAsia="Palatino" w:hAnsi="Palatino"/>
          <w:b w:val="1"/>
          <w:bCs w:val="1"/>
          <w:i w:val="1"/>
          <w:iCs w:val="1"/>
          <w:smallCaps w:val="0"/>
          <w:strike w:val="0"/>
          <w:color w:val="000000"/>
          <w:sz w:val="21"/>
          <w:szCs w:val="21"/>
          <w:u w:val="none"/>
          <w:shd w:fill="auto" w:val="clear"/>
          <w:vertAlign w:val="baseline"/>
        </w:rPr>
      </w:pPr>
      <w:r w:rsidDel="00000000" w:rsidR="00000000" w:rsidRPr="00000000">
        <w:rPr>
          <w:rFonts w:ascii="Palatino" w:cs="Palatino" w:eastAsia="Palatino" w:hAnsi="Palatino"/>
          <w:b w:val="1"/>
          <w:bCs w:val="1"/>
          <w:i w:val="1"/>
          <w:iCs w:val="1"/>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60" w:before="120" w:line="278.00000000000006" w:lineRule="auto"/>
        <w:ind w:left="0" w:right="0" w:firstLine="0"/>
        <w:jc w:val="center"/>
        <w:rPr>
          <w:rFonts w:ascii="Palatino" w:cs="Palatino" w:eastAsia="Palatino" w:hAnsi="Palatino"/>
          <w:b w:val="1"/>
          <w:bCs w:val="1"/>
          <w:i w:val="1"/>
          <w:iCs w:val="1"/>
          <w:smallCaps w:val="0"/>
          <w:strike w:val="0"/>
          <w:color w:val="000000"/>
          <w:sz w:val="21"/>
          <w:szCs w:val="21"/>
          <w:u w:val="none"/>
          <w:shd w:fill="auto" w:val="clear"/>
          <w:vertAlign w:val="baseline"/>
        </w:rPr>
      </w:pPr>
      <w:r w:rsidDel="00000000" w:rsidR="00000000" w:rsidRPr="00000000">
        <w:rPr>
          <w:rFonts w:ascii="Palatino" w:cs="Palatino" w:eastAsia="Palatino" w:hAnsi="Palatino"/>
          <w:b w:val="1"/>
          <w:bCs w:val="1"/>
          <w:i w:val="1"/>
          <w:iCs w:val="1"/>
          <w:smallCaps w:val="0"/>
          <w:strike w:val="0"/>
          <w:color w:val="000000"/>
          <w:sz w:val="21"/>
          <w:szCs w:val="21"/>
          <w:u w:val="none"/>
          <w:shd w:fill="auto" w:val="clear"/>
          <w:vertAlign w:val="baseline"/>
          <w:rtl w:val="0"/>
        </w:rPr>
        <w:t xml:space="preserve">1. Publicizing and Humanizing Individual Cases</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Bringing sympathetic cases to the attention of the general public has the potential of putting community pressure on individual judges or Department of Homeland Security (“DHS”) officials to render favorable decisions in such cases. The publicity also can highlight the need for changing a particular policy. The ILRC helped immigrants and advocates bring the following case examples to the attention of local mainstream and ethnic media.</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immigration court handling her asylum case failed to inform Lizbeth Sanchez of her correct court date. When she did not appear, the court ordered her deported in absentia. At about the same time, her U.S. citizen husband filed paperwork seeking permanent resident status for Lizbeth. When she went with her husband and eight-year-old daughter to Immigration and Nationalization Service (“INS”) to be interviewed for her green card, Lizbeth was handcuffed, taken into custody, and deported. Under harsh rules adopted in 1996 that affect those who have been in the United States without documentation, Lizbeth would not be able to reenter the United States for ten years and her case was not reviewable by an immigration judge. The ILRC helped Lizbeth’s husband and daughter publicize their story in hopes of expediting Lizbeth’s return and to publicize the terrible consequences of get-tough immigration policies and a system in which immigrants bear the brunt of government mistakes. As a result of the widespread publicity and pressure, Lizbeth’s waiver of inadmissibility was expedited and she was able to rejoin her family.</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Pressured by publicity generated by the ILRC, the citizenship swearing-in ceremony for Becir Gasi was expedited so that the immigration petition for his pregnant wife, Maria Orellana, could be processed before she was required to leave the United States. Orellana fled civil war in El Salvador in 1990, one of hundreds of thousands of refugees from the civil wars that ravaged Central America in the 1980s and early 1990s. NACARA made all Nicaraguan refugees of these wars eligible for permanent resident status in the United States, but sharply limited that benefit for refugees like Orellana from El Salvador or Guatemala. Orellana’s case dramatized the need for proposed legislation supported by the ILRC that would equalize treatment of all Central American refugees.</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60" w:before="120" w:line="278.00000000000006" w:lineRule="auto"/>
        <w:ind w:left="0" w:right="0" w:firstLine="0"/>
        <w:jc w:val="center"/>
        <w:rPr>
          <w:rFonts w:ascii="Palatino" w:cs="Palatino" w:eastAsia="Palatino" w:hAnsi="Palatino"/>
          <w:b w:val="1"/>
          <w:bCs w:val="1"/>
          <w:i w:val="1"/>
          <w:iCs w:val="1"/>
          <w:smallCaps w:val="0"/>
          <w:strike w:val="0"/>
          <w:color w:val="000000"/>
          <w:sz w:val="21"/>
          <w:szCs w:val="21"/>
          <w:u w:val="none"/>
          <w:shd w:fill="auto" w:val="clear"/>
          <w:vertAlign w:val="baseline"/>
        </w:rPr>
      </w:pPr>
      <w:r w:rsidDel="00000000" w:rsidR="00000000" w:rsidRPr="00000000">
        <w:rPr>
          <w:rFonts w:ascii="Palatino" w:cs="Palatino" w:eastAsia="Palatino" w:hAnsi="Palatino"/>
          <w:b w:val="1"/>
          <w:bCs w:val="1"/>
          <w:i w:val="1"/>
          <w:iCs w:val="1"/>
          <w:smallCaps w:val="0"/>
          <w:strike w:val="0"/>
          <w:color w:val="000000"/>
          <w:sz w:val="21"/>
          <w:szCs w:val="21"/>
          <w:u w:val="none"/>
          <w:shd w:fill="auto" w:val="clear"/>
          <w:vertAlign w:val="baseline"/>
          <w:rtl w:val="0"/>
        </w:rPr>
        <w:t xml:space="preserve">2. Advocating for Immigrant-Friendly Policies</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ILRC also looks for opportunities to bring policy-related stories to the media that are not necessarily rooted in a deportation or urgent circumstance. When individuals who have an important policy-related story to tell are identified in community meetings, informal contacts, or referrals, the ILRC will help get their voices heard; the goal is to help mainstream Americans understand immigrant-related policies from a human perspective.</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ILRC helped Alfonso and Leticia Acevedo explain to reporters how they would face up to ten years of separation if Congress did not renew INA §245(i) to permit immigrants like Leticia to complete their immigration process in the United States to avoid a multi-year bar to legal re-entry if she were forced to depart. The couple told reporters that they would be forced to take their two U.S. citizen children out of school so they could go back to Mexico with their mother, while their father continued working to support the family. “The children can’t accept the idea of their mother leaving and their father staying in the U.S.,” explained Leticia. Due to pressure generated by news reports, petition drives and delegations to congressional offices, INA §245(i) was briefly renewed in 1997.</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2002, the ILRC helped undocumented immigrant students plan and present a press conference urging the Regents of the University of California to adopt a policy that mirrored the state’s new legislation providing for in-state tuition rates for California-educated undocumented students. Bay Area newspapers and broadcast media covered the press conference. The students spoke eloquently about their work ethic in high school and hopes of attending the prestigious university system. They also spoke of their concern that their families could not afford the out-of-state fees if the policy remained the same. The Regents voted to adopt the new policy.</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E. Concentrated Capacity Building with Partner Organizations</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ILRC believes that responsive local organizations are an important foundation for the civic influence of immigrant communities. Building the service and advocacy capacity of established organizations is a major goal of the ILRC’s work in the areas of training and support on substantive immigration practice, community advocacy, and leadership development. The ILRC also has worked extensively with immigrants to build and develop new grassroots organizations. For many of these organizations, the ILRC helped to start the organizations, support them at early stages, and eventually assist them to become independent in terms of administration, fundraising, and staffing. The goal is to help the CBO become more independent while serving a vital and previously unmet community need. As part of the process, the ILRC learns about the community’s needs and concerns from the leaders and community members with whom they are engaged. The following are examples of this partnership work.</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60" w:before="120" w:line="278.00000000000006" w:lineRule="auto"/>
        <w:ind w:left="0" w:right="0" w:firstLine="0"/>
        <w:jc w:val="center"/>
        <w:rPr>
          <w:rFonts w:ascii="Palatino" w:cs="Palatino" w:eastAsia="Palatino" w:hAnsi="Palatino"/>
          <w:b w:val="1"/>
          <w:bCs w:val="1"/>
          <w:i w:val="1"/>
          <w:iCs w:val="1"/>
          <w:smallCaps w:val="0"/>
          <w:strike w:val="0"/>
          <w:color w:val="000000"/>
          <w:sz w:val="21"/>
          <w:szCs w:val="21"/>
          <w:u w:val="none"/>
          <w:shd w:fill="auto" w:val="clear"/>
          <w:vertAlign w:val="baseline"/>
        </w:rPr>
      </w:pPr>
      <w:r w:rsidDel="00000000" w:rsidR="00000000" w:rsidRPr="00000000">
        <w:rPr>
          <w:rFonts w:ascii="Palatino" w:cs="Palatino" w:eastAsia="Palatino" w:hAnsi="Palatino"/>
          <w:b w:val="1"/>
          <w:bCs w:val="1"/>
          <w:i w:val="1"/>
          <w:iCs w:val="1"/>
          <w:smallCaps w:val="0"/>
          <w:strike w:val="0"/>
          <w:color w:val="000000"/>
          <w:sz w:val="21"/>
          <w:szCs w:val="21"/>
          <w:u w:val="none"/>
          <w:shd w:fill="auto" w:val="clear"/>
          <w:vertAlign w:val="baseline"/>
          <w:rtl w:val="0"/>
        </w:rPr>
        <w:t xml:space="preserve">1. Centro Bilingue</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For more than twenty years, the ILRC has worked closely with Centro Bilingue, a grassroots immigrant-led advice and referral agency in the small community of East Palo Alto, California. Beginning with legalization under IRCA, the ILRC helped Centro Bilingue develop and present community education meetings on general immigration provisions and focused sessions on family visas and naturalization. The group processing models for family visa and naturalization applications were developed and refined with Centro Bilingue. Working with the organization’s steering committee, the ILRC created the Immigrant Leadership Training series. The ILRC also has provided ongoing support to Centro Bilingue’s organizational development, including fiscal sponsorship, board development, fundraising and fundraising capacity building, volunteer capacity building, and personnel policies.</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60" w:before="120" w:line="278.00000000000006" w:lineRule="auto"/>
        <w:ind w:left="0" w:right="0" w:firstLine="0"/>
        <w:jc w:val="center"/>
        <w:rPr>
          <w:rFonts w:ascii="Palatino" w:cs="Palatino" w:eastAsia="Palatino" w:hAnsi="Palatino"/>
          <w:b w:val="1"/>
          <w:bCs w:val="1"/>
          <w:i w:val="1"/>
          <w:iCs w:val="1"/>
          <w:smallCaps w:val="0"/>
          <w:strike w:val="0"/>
          <w:color w:val="000000"/>
          <w:sz w:val="21"/>
          <w:szCs w:val="21"/>
          <w:u w:val="none"/>
          <w:shd w:fill="auto" w:val="clear"/>
          <w:vertAlign w:val="baseline"/>
        </w:rPr>
      </w:pPr>
      <w:r w:rsidDel="00000000" w:rsidR="00000000" w:rsidRPr="00000000">
        <w:rPr>
          <w:rFonts w:ascii="Palatino" w:cs="Palatino" w:eastAsia="Palatino" w:hAnsi="Palatino"/>
          <w:b w:val="1"/>
          <w:bCs w:val="1"/>
          <w:i w:val="1"/>
          <w:iCs w:val="1"/>
          <w:smallCaps w:val="0"/>
          <w:strike w:val="0"/>
          <w:color w:val="000000"/>
          <w:sz w:val="21"/>
          <w:szCs w:val="21"/>
          <w:u w:val="none"/>
          <w:shd w:fill="auto" w:val="clear"/>
          <w:vertAlign w:val="baseline"/>
          <w:rtl w:val="0"/>
        </w:rPr>
        <w:t xml:space="preserve">2. Mujeres Unidas y Activas</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Mujeres Unidas y Activas (“MUA”) is a grassroots organization of Latina immigrant women with a dual mission of personal transformation and community power. Creating an environment of understanding and confidentiality, MUA empowers and educates its members through mutual support and training to be leaders in their own lives and in the community. Working with diverse allies, MUA promotes unity and civic-political participation to achieve social justice. MUA is one of the few programs founded on the concept that immigrant women themselves are uniquely equipped to find solutions to the problems that most directly affect their lives. While recognizing the formidable problems faced by Latina immigrant women, MUA draws on the strengths of these same women as peer mentors, group facilitators, community educators, and organizers. With this philosophy in mind, MUA adopts a multi-layered program approach to Latina immigrant empowerment, leadership, and activism.</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ILRC has established a strong working relationship with MUA, helping with staff and volunteer training and assisting in program planning. In 1992 and 1994, the ILRC trained the leaders on how to educate immigrants on their rights and how to conduct outreach and information sessions to the public on important issues such as naturalization. The bulk of the training involved practicing how to convey information to others, including how to organize a meeting and how to lead a discussion. With that training, the women coordinated dozens of meetings throughout the Bay Area. The participants from the MUA trainings remain active and involved members of the group, and continue working as leaders in the community. They hold press conferences on immigration topics, conduct meetings, and engage in community outreach and education efforts.</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60" w:before="120" w:line="278.00000000000006" w:lineRule="auto"/>
        <w:ind w:left="0" w:right="0" w:firstLine="0"/>
        <w:jc w:val="center"/>
        <w:rPr>
          <w:rFonts w:ascii="Palatino" w:cs="Palatino" w:eastAsia="Palatino" w:hAnsi="Palatino"/>
          <w:b w:val="1"/>
          <w:bCs w:val="1"/>
          <w:i w:val="1"/>
          <w:iCs w:val="1"/>
          <w:smallCaps w:val="0"/>
          <w:strike w:val="0"/>
          <w:color w:val="000000"/>
          <w:sz w:val="21"/>
          <w:szCs w:val="21"/>
          <w:u w:val="none"/>
          <w:shd w:fill="auto" w:val="clear"/>
          <w:vertAlign w:val="baseline"/>
        </w:rPr>
      </w:pPr>
      <w:r w:rsidDel="00000000" w:rsidR="00000000" w:rsidRPr="00000000">
        <w:rPr>
          <w:rFonts w:ascii="Palatino" w:cs="Palatino" w:eastAsia="Palatino" w:hAnsi="Palatino"/>
          <w:b w:val="1"/>
          <w:bCs w:val="1"/>
          <w:i w:val="1"/>
          <w:iCs w:val="1"/>
          <w:smallCaps w:val="0"/>
          <w:strike w:val="0"/>
          <w:color w:val="000000"/>
          <w:sz w:val="21"/>
          <w:szCs w:val="21"/>
          <w:u w:val="none"/>
          <w:shd w:fill="auto" w:val="clear"/>
          <w:vertAlign w:val="baseline"/>
          <w:rtl w:val="0"/>
        </w:rPr>
        <w:t xml:space="preserve">7. Central Valley Partners</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For more than twelve years, the ILRC has worked with a number of organizations in a partnership of approximately twenty organizations designed to enhance citizenship and civic participation in California’s Central Valley. Sponsored by the James Irvine Foundation, the Central Valley Partnership (“CVP”) grew to become one of the major forces in the Central Valley. A major objective of the ILRC and the other partners was to develop the capacity to embrace a common vision and work together to further these goals: “The CVP supports Valley communities working together to achieve social and institutional change — change that provides the opportunity for all who reside in the Valley to live in dignity and good health, participate fully in decisions that affect their lives, and assume the rights and responsibilities of citizenship in its broadest sense.” In addition, the ILRC viewed the project as a vehicle to increase the self-sustaining capacity for civic participation of the groups and individuals involved. As part of this project, the ILRC helped to lead joint organizing projects around efforts such as changing immigration laws, assisting undocumented students in their fight to attend public universities, and urging the issuance of drivers’ licenses in California to all drivers regardless of immigration status. The ILRC has trained and encouraged the partners to use many of its approaches to leadership development and community advocacy.</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One of the first major collaborative efforts of the CVP was in the Family Unity campaign of 1997. At that time, INA §245(i) was set to expire at the end of September. Expiration would have had devastating effects on immigrant families, making it impossible for hundreds of thousands of immediate family members of U.S. citizens and legal residents to obtain legal status in this country.</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Based on meetings and other contacts with the immigrant community in the winter and spring of 1997, a number of partners were able to identify this issue as one of great concern to immigrant families. They then brought the issue to the other partners, who expressed interest in collaborating in organizing the community to prevent the separation of families. The goal was to convince policy-makers to extend §245(i).</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 This was a transformative experience for everyone concerned. The community leaders and the attorneys learned to appreciate each other’s capabilities, as they began to understand their work. As ILRC Staff Attorney Mark Silverman put it, “Collaboration with leaders and organizers has enriched our own experience by being able to deepen our understanding that immigration law can be changed by organized immigrants themselves. Similarly, community leaders have gained more knowledge about immigration law and what a lawyer can and cannot do. Together we were able to develop an effective strategy of change in the area of immigration.”</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After passage of the §245(i) extension, the CVP set about providing community education and service to those individuals who could benefit from the law. CVP member SVOC designed a meeting campaign and assemblies, and the ILRC drafted an eligibility screening intake sheet. The ILRC, CRLAF, and SVOC refined the worksheet as the campaign progressed. The campaign reached thousands of individuals who were eligible for the benefits and simultaneously strengthened the immigration organizing campaign of SVOC. The worksheet approach was shared with other CVP partners as well as with practitioners throughout the state. The ILRC took on several roles in the §245(i) informational campaign, including: training leaders; review of the worksheet by the attorney; follow-up assemblies; and working with the SVOC organizer to formulate (and modify) the strategy for the campaign.</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60" w:before="120" w:line="278.00000000000006" w:lineRule="auto"/>
        <w:ind w:left="0" w:right="0" w:firstLine="0"/>
        <w:jc w:val="center"/>
        <w:rPr>
          <w:rFonts w:ascii="Palatino" w:cs="Palatino" w:eastAsia="Palatino" w:hAnsi="Palatino"/>
          <w:b w:val="1"/>
          <w:bCs w:val="1"/>
          <w:i w:val="1"/>
          <w:iCs w:val="1"/>
          <w:smallCaps w:val="0"/>
          <w:strike w:val="0"/>
          <w:color w:val="000000"/>
          <w:sz w:val="21"/>
          <w:szCs w:val="21"/>
          <w:u w:val="none"/>
          <w:shd w:fill="auto" w:val="clear"/>
          <w:vertAlign w:val="baseline"/>
        </w:rPr>
      </w:pPr>
      <w:r w:rsidDel="00000000" w:rsidR="00000000" w:rsidRPr="00000000">
        <w:rPr>
          <w:rFonts w:ascii="Palatino" w:cs="Palatino" w:eastAsia="Palatino" w:hAnsi="Palatino"/>
          <w:b w:val="1"/>
          <w:bCs w:val="1"/>
          <w:i w:val="1"/>
          <w:iCs w:val="1"/>
          <w:smallCaps w:val="0"/>
          <w:strike w:val="0"/>
          <w:color w:val="000000"/>
          <w:sz w:val="21"/>
          <w:szCs w:val="21"/>
          <w:u w:val="none"/>
          <w:shd w:fill="auto" w:val="clear"/>
          <w:vertAlign w:val="baseline"/>
          <w:rtl w:val="0"/>
        </w:rPr>
        <w:t xml:space="preserve">3. Context, Relevance, and Transferability</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When attorneys start from a perspective of respect for the client and the client’s community, engaging in collaborative lawyering can be a natural choice. Not all attorneys who respect their clients choose the collaborative route. But for those who do, the strategies are evident. The collaborative style is humble, not paternalistic; respects the client’s own talents and skills; respects the client’s informed judgment on case strategies; addresses issues and shares responsibilities with the client as a partner; strives to demystify the law and procedure for clients; and regards community education or teaching self-help as a central strategy.</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rebellious strategies of the ILRC represent the choice to practice collaboratively out of respect for and confidence in its working class immigrant client communities. Certainly the ILRC staff goes about its work with social change goals in mind, but those goals have been shaped by its collaborations with immigrants and other service providers in the community. The ILRC could have chosen to seek those goals by engaging in strategies with little client collaboration. However, early on, as we shared legal information and case responsibilities with clients and delivered presentations to community groups, the important insight that clients and community residents demonstrated was evident. Their willingness and desire to take on responsibilities for their own needs was apparent. Working with that willingness and desire was natural.</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ILRC’s classification as a legal services support center or backup center may be puzzling for some who are familiar with the history of legal services programs in the United States. Although the ILRC began as a law school clinical program, funded initially by a Department of Education grant for law school clinical programs in the 1979-80 academic year, the ILRC blossomed as a support center in the early 1980s when legal services support centers began being attacked. At the end of the Carter Administration in 1980, the federally-funded Legal Services Corporation (“LSC”) was funding grantees, covering every county in the United States, as well as Puerto Rico, the Virgin Islands, and Micronesia. These included basic field programs that provided general legal assistance to eligible clients within their geographic services areas, a system of separate programs to address the special legal needs of Native Americans and migrant farm workers, and a comprehensive system of state and national support centers, regional training centers, and a national information clearinghouse. This began to change when Ronald Reagan took office. As governor of California, Reagan clashed with California Rural Legal Assistance; once he became president, he targeted the LSC. Every year of his administration, he pushed for restrictions on the types of cases LSC-funded programs could accept and reduced fund. President George H.W. Bush continued the attack, and hundreds of legal aid offices were closed by the early 1990s. The combination of the new restrictions and the cut in LSC funding resulted in major changes in the civil legal assistance delivery system and the role of the LSC. National and state support centers and the national information clearinghouse could no longer receive LSC funds. Those that survived the loss of LSC funding developed new resources and financial support, often from sources that had not traditionally supported LSC funded entities or from entrepreneurial efforts to market their services to non-LSC funded legal services programs. The ILRC benefited from one of these new sources of funding — the establishment of an Interest on Lawyers Trust Account (“IOLTA”) program to be administered by the State Bar of California for legal services programs in the state. Twenty percent of these new funds were set aside for support centers, for which the ILRC qualified because of the backup work it had initiated as a law school clinical program. In the mid-1980s, the ILRC also received its first foundation grant from the Rosenberg Foundation of San Francisco to provide backup work to attorneys representing low income Mexican families seeking relief from deportation.</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ILRC’s evolution from law school clinical program to legal services support center raises implications for law school clinical programs. Law school clinics with expertise in certain fields can provide backup to pro bono or legal aid attorneys and community education programs to community groups. The wide range of expertise in clinical programs across the country raise far-reaching possibilities for such programs to take on a support-center role even if in a limited capacity. Clinical programs partnering with established support centers to expand the work of those centers is yet another possibility for law school clinics to consider.</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Much of the collaborative-type lawyering of the ILRC can be done in clinical settings and legal services environments. We do our best to address the array of challenges faced by our clients and client communities, from housing to public assistance, to consumer issues and employment problems; from domestic violence to racial profiling, to custody battles, problems at school, and language access. By putting our heads together on any of these issues, eventually with our clients and client communities, surely we can think of ways that community education, meetings, media work, leadership development, and organizing campaigns would help move the issues along. Of course, resources and staff/student commitment are critical to implementing these strategies, but we are also expanding resources to address these challenging issues through the partnerships we would be forming with clients, allies, and the new leaders that would emerge.</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Without a doubt, the ILRC has been part of the immigrant rights movement at a time when immigrant bashing and the debates over immigrant and refugee rights have heightened. By using the collaborative-lawyering approach in its work, the ILRC has strived to help immigrants get their voices heard on these matters. Some might wonder whether their voices have made a difference (examples discussed confirm that they do), but at least their voices are out there, less subordinated than before. And that may demonstrate that some social change has occurred.</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While the immigrant rights movement has been conducive to collaborative lawyering strategies, a multitude of other areas of reform and practice are suitable as well. Think only of labor struggles, low income housing needs, coalition opportunities to seek economic justice, environmental causes, healthcare, and education reform. The individuals, families, and communities affected by these issues are looking for ways in which they can have a say on these issues. A rebellious approach to these challenges is capable of generating tremendous participation by those concerned. The question is not whether the interest and talent exists in the community to take part in these movements; the question is whether those of us in clinics and progressive legal services programs have the will, imagination, and faith in ourselves and our clients to take the collaborative route.</w:t>
      </w:r>
    </w:p>
    <w:p w:rsidR="00000000" w:rsidDel="00000000" w:rsidP="00000000" w:rsidRDefault="00000000" w:rsidRPr="00000000" w14:paraId="00000070">
      <w:pPr>
        <w:keepNext w:val="0"/>
        <w:keepLines w:val="0"/>
        <w:pageBreakBefore w:val="0"/>
        <w:widowControl w:val="0"/>
        <w:pBdr>
          <w:top w:space="0" w:sz="0" w:val="nil"/>
          <w:left w:space="0" w:sz="0" w:val="nil"/>
          <w:bottom w:color="000000" w:space="0" w:sz="8" w:val="single"/>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71">
      <w:pPr>
        <w:keepNext w:val="1"/>
        <w:keepLines w:val="1"/>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480" w:line="278.00000000000006" w:lineRule="auto"/>
        <w:ind w:left="0" w:right="0" w:firstLine="0"/>
        <w:jc w:val="center"/>
        <w:rPr>
          <w:rFonts w:ascii="Palatino" w:cs="Palatino" w:eastAsia="Palatino" w:hAnsi="Palatino"/>
          <w:b w:val="1"/>
          <w:bCs w:val="1"/>
          <w:i w:val="0"/>
          <w:iCs w:val="0"/>
          <w:smallCaps w:val="1"/>
          <w:strike w:val="0"/>
          <w:color w:val="000000"/>
          <w:sz w:val="24"/>
          <w:szCs w:val="24"/>
          <w:u w:val="none"/>
          <w:shd w:fill="auto" w:val="clear"/>
          <w:vertAlign w:val="baseline"/>
        </w:rPr>
      </w:pPr>
      <w:r w:rsidDel="00000000" w:rsidR="00000000" w:rsidRPr="00000000">
        <w:rPr>
          <w:rFonts w:ascii="Palatino" w:cs="Palatino" w:eastAsia="Palatino" w:hAnsi="Palatino"/>
          <w:b w:val="1"/>
          <w:bCs w:val="1"/>
          <w:i w:val="0"/>
          <w:iCs w:val="0"/>
          <w:smallCaps w:val="1"/>
          <w:strike w:val="0"/>
          <w:color w:val="000000"/>
          <w:sz w:val="24"/>
          <w:szCs w:val="24"/>
          <w:u w:val="none"/>
          <w:shd w:fill="auto" w:val="clear"/>
          <w:vertAlign w:val="baseline"/>
          <w:rtl w:val="0"/>
        </w:rPr>
        <w:t xml:space="preserve">NOTES AND QUESTIONS</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1.</w:t>
        <w:tab/>
        <w:t xml:space="preserve">Are ILRC strategies and programs something that all rebellious immigration lawyers can incorporate into their practices?</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2.</w:t>
        <w:tab/>
        <w:t xml:space="preserve">Should organizing be included in training for social justice lawyers?</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3.</w:t>
        <w:tab/>
        <w:t xml:space="preserve">How does legislative advocacy fit into the social justice lawyer’s framework?</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12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4.</w:t>
        <w:tab/>
        <w:t xml:space="preserve">Is a rebellious lawyering approach necessary for both policy work and direct legal services to individuals?</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Law school clinical programs provide a foundation for social justice lawyering for many law students. Consider this example of critical collaborative lawyering on behalf of immigrants.</w:t>
      </w:r>
    </w:p>
    <w:p w:rsidR="00000000" w:rsidDel="00000000" w:rsidP="00000000" w:rsidRDefault="00000000" w:rsidRPr="00000000" w14:paraId="00000077">
      <w:pPr>
        <w:keepNext w:val="1"/>
        <w:keepLines w:val="1"/>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300" w:line="278.00000000000006" w:lineRule="auto"/>
        <w:ind w:left="0" w:right="0" w:firstLine="0"/>
        <w:jc w:val="left"/>
        <w:rPr>
          <w:rFonts w:ascii="Palatino" w:cs="Palatino" w:eastAsia="Palatino" w:hAnsi="Palatino"/>
          <w:b w:val="1"/>
          <w:bCs w:val="1"/>
          <w:i w:val="0"/>
          <w:iCs w:val="0"/>
          <w:smallCaps w:val="0"/>
          <w:strike w:val="0"/>
          <w:color w:val="000000"/>
          <w:sz w:val="25"/>
          <w:szCs w:val="25"/>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5"/>
          <w:szCs w:val="25"/>
          <w:u w:val="none"/>
          <w:shd w:fill="auto" w:val="clear"/>
          <w:vertAlign w:val="baseline"/>
          <w:rtl w:val="0"/>
        </w:rPr>
        <w:t xml:space="preserve">D. Example Four: Law School Clinic Programs</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Law schools feature a variety of in-house clinical opportunities for their students. Direct service clinics have much to learn from the examples of James Yen discussed above. However, clinical programs can engage in planning, organizing, and support work in a rebellious fashion as well.</w:t>
      </w:r>
    </w:p>
    <w:p w:rsidR="00000000" w:rsidDel="00000000" w:rsidP="00000000" w:rsidRDefault="00000000" w:rsidRPr="00000000" w14:paraId="00000079">
      <w:pPr>
        <w:keepNext w:val="0"/>
        <w:keepLines w:val="0"/>
        <w:pageBreakBefore w:val="0"/>
        <w:widowControl w:val="0"/>
        <w:pBdr>
          <w:top w:color="a73439" w:space="28" w:sz="4" w:val="single"/>
          <w:left w:space="0" w:sz="0" w:val="nil"/>
          <w:bottom w:space="0" w:sz="0" w:val="nil"/>
          <w:right w:space="0" w:sz="0" w:val="nil"/>
          <w:between w:space="0" w:sz="0" w:val="nil"/>
        </w:pBdr>
        <w:shd w:fill="auto" w:val="clear"/>
        <w:tabs>
          <w:tab w:val="left" w:leader="none" w:pos="300"/>
        </w:tabs>
        <w:spacing w:after="0" w:before="480" w:line="278.00000000000006" w:lineRule="auto"/>
        <w:ind w:left="0" w:right="0" w:firstLine="0"/>
        <w:jc w:val="center"/>
        <w:rPr>
          <w:rFonts w:ascii="Palatino" w:cs="Palatino" w:eastAsia="Palatino" w:hAnsi="Palatino"/>
          <w:b w:val="0"/>
          <w:bCs w:val="0"/>
          <w:i w:val="1"/>
          <w:iCs w:val="1"/>
          <w:smallCaps w:val="0"/>
          <w:strike w:val="0"/>
          <w:color w:val="000000"/>
          <w:sz w:val="25"/>
          <w:szCs w:val="25"/>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5"/>
          <w:szCs w:val="25"/>
          <w:u w:val="none"/>
          <w:shd w:fill="auto" w:val="clear"/>
          <w:vertAlign w:val="baseline"/>
          <w:rtl w:val="0"/>
        </w:rPr>
        <w:t xml:space="preserve">Ingrid V. Eagley, Criminal Clinics in the Pursuit of Immigrant Rights: Lessons from the Lonchero</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80" w:before="0" w:line="278.00000000000006" w:lineRule="auto"/>
        <w:ind w:left="0" w:right="0" w:firstLine="0"/>
        <w:jc w:val="center"/>
        <w:rPr>
          <w:rFonts w:ascii="Open Sans" w:cs="Open Sans" w:eastAsia="Open Sans" w:hAnsi="Open Sans"/>
          <w:b w:val="0"/>
          <w:bCs w:val="0"/>
          <w:i w:val="0"/>
          <w:iCs w:val="0"/>
          <w:smallCaps w:val="0"/>
          <w:strike w:val="0"/>
          <w:color w:val="000000"/>
          <w:sz w:val="19"/>
          <w:szCs w:val="19"/>
          <w:u w:val="none"/>
          <w:shd w:fill="auto" w:val="clear"/>
          <w:vertAlign w:val="baseline"/>
        </w:rPr>
      </w:pPr>
      <w:r w:rsidDel="00000000" w:rsidR="00000000" w:rsidRPr="00000000">
        <w:rPr>
          <w:rFonts w:ascii="Open Sans" w:cs="Open Sans" w:eastAsia="Open Sans" w:hAnsi="Open Sans"/>
          <w:b w:val="0"/>
          <w:bCs w:val="0"/>
          <w:i w:val="0"/>
          <w:iCs w:val="0"/>
          <w:smallCaps w:val="0"/>
          <w:strike w:val="0"/>
          <w:color w:val="000000"/>
          <w:sz w:val="19"/>
          <w:szCs w:val="19"/>
          <w:u w:val="none"/>
          <w:shd w:fill="auto" w:val="clear"/>
          <w:vertAlign w:val="baseline"/>
          <w:rtl w:val="0"/>
        </w:rPr>
        <w:t xml:space="preserve">2 U.C. Irvine L. Rev. 91 (2012)</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Introduction</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For decades, the men and women operating mobile catering trucks in Los Angeles have been subjected to a variety of local regulation. In 2006 these workers — known colloquially as lunch truck vendors, loncheros, or taqueros — found themselves subject to a new municipal ordinance that severely limited the amount of time that they could sell food in public streets. Specifically, the law required catering trucks — defined as motorized vehicles “designed primarily for dispensing victuals” — to move every thirty minutes (if parked in a residential zone) or sixty minutes (if parked in a commercial zone) to a location at least one-half mile away. Vendors who did not comply were subject to steep fines.</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As catering trucks racked up thousands of dollars in penalties, a grassroots group began to organize to evaluate possible responses. Over dinners at a South Los Angeles restaurant, the vendors congregated to discuss shared experiences operating their trucks under the stringent durational restriction. Gradually, attendance at the weekly meetings grew with the support of a community organizer, a web-based community of taco enthusiasts, and leadership training provided by the UCLA Downtown Labor Center and the National Day Labor Organizing Network. In 2008 the vendors established a formal organization, which they named La Asociación de Loncheros L.A. Familia Unida de California. Shortly thereafter, the Asociación contacted UCLA’s Criminal Defense Clinic, which I direct, to help its members explore their options in defending against continued prosecutions under the ordinance. Eventually, the Asociación asked the clinic to represent one of its members in an administrative appeal contesting the numerous fines he had received under the ordinance, while also using the appeal to challenge the validity of the ordinance itself.</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I. The Role of Lawyers in the Lonchero Campaign</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My students’ clinical work with the Asociación began in the first week of the spring semester with a meeting at the UCLA Downtown Labor Center, a university program that supports research and education on labor issues. At the meeting, the core leadership of the Asociación explained to the students that the mission of their newly formed organization was to protect the rights of catering truck owners and operators. Much of the discussion, which was facilitated by a volunteer English-Spanish interpreter, focused on the toll that the city ordinance was taking on their ability to earn a living. The members explained how their hard work over time had earned them the patronage of local customers who regularly purchased their food. The durational restriction had rendered their established business model obsolete. If they remained on the move, their customers could not find them. On the other hand, if they stayed in their regular spots, they could not afford to pay the fines.</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At the conclusion of this initial meeting, the leadership of the Asociación asked our clinic to research the new ordinance and to help the membership identify possible strategies for challenging it.</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A. The Organizational Phase: Contesting the Durational Restriction</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The students’ investigation thus spotlighted the key legal question: Did state law preempt the Los Angeles ordinance?. . .Since there was no contemporaneous public record of the underlying rationale for the 2006 amendment, the students searched for evidence to cast doubt on the link between the durational restriction, its enforcement, and public safety. Through the course of their research, three possible rationales for the city ordinance emerged: crime reduction, competition restriction, and racial discrimination.</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60" w:before="120" w:line="278.00000000000006" w:lineRule="auto"/>
        <w:ind w:left="0" w:right="0" w:firstLine="0"/>
        <w:jc w:val="center"/>
        <w:rPr>
          <w:rFonts w:ascii="Palatino" w:cs="Palatino" w:eastAsia="Palatino" w:hAnsi="Palatino"/>
          <w:b w:val="1"/>
          <w:bCs w:val="1"/>
          <w:i w:val="1"/>
          <w:iCs w:val="1"/>
          <w:smallCaps w:val="0"/>
          <w:strike w:val="0"/>
          <w:color w:val="000000"/>
          <w:sz w:val="21"/>
          <w:szCs w:val="21"/>
          <w:u w:val="none"/>
          <w:shd w:fill="auto" w:val="clear"/>
          <w:vertAlign w:val="baseline"/>
        </w:rPr>
      </w:pPr>
      <w:r w:rsidDel="00000000" w:rsidR="00000000" w:rsidRPr="00000000">
        <w:rPr>
          <w:rFonts w:ascii="Palatino" w:cs="Palatino" w:eastAsia="Palatino" w:hAnsi="Palatino"/>
          <w:b w:val="1"/>
          <w:bCs w:val="1"/>
          <w:i w:val="1"/>
          <w:iCs w:val="1"/>
          <w:smallCaps w:val="0"/>
          <w:strike w:val="0"/>
          <w:color w:val="000000"/>
          <w:sz w:val="21"/>
          <w:szCs w:val="21"/>
          <w:u w:val="none"/>
          <w:shd w:fill="auto" w:val="clear"/>
          <w:vertAlign w:val="baseline"/>
          <w:rtl w:val="0"/>
        </w:rPr>
        <w:t xml:space="preserve">3. Race</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 third potential factor motivating the regulation of loncheros was racial discrimination. “Isn’t this all about race?” one of my students bluntly asked the vendors during our first meeting. She was certainly not alone in suspecting discrimination. As Regina Austin argued in her foundational Yale Law Journal essay on black street vendors, historically race has strongly influenced debates over whether to allow vending in public space. More broadly, scholars have documented ties between broken windows-style policing and racially discriminatory enforcement practices.</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 silence fell over the room after the student’s question was translated into Spanish. Her seemingly simple question was, after all, exceedingly complex. In part, she was asking whether the city’s ticketing of vendors might be targeted against the group’s Latino membership serving Mexican fare in East and South Los Angeles. Did the high-end, gourmet “Twitter trucks” that serviced the West Side of Los Angeles find themselves the same predicament? More deeply, her question also probed whether the Asociación’s largely Mexican American membership self-identified as a racial group subject to discrimination in the first instance.</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During the conversation that followed, the vendors explained how the law’s continued enforcement had damaged their traditions and livelihoods. One vendor recounted in detail the recipe handed down in his family for generations — a traditional Mexican grilled meat dish known as carne asada — that he sold with pride from his truck. Another spoke emotionally of his children, who literally grew up in the trucks, helping in the family business that would later pave their way to college. But, the vendors did not at this point accept the student’s invitation to define their experience in explicit racial terms — for example, they did not employ terms such as Chicano, race, or discrimination.</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60" w:before="120" w:line="278.00000000000006" w:lineRule="auto"/>
        <w:ind w:left="0" w:right="0" w:firstLine="0"/>
        <w:jc w:val="center"/>
        <w:rPr>
          <w:rFonts w:ascii="Palatino" w:cs="Palatino" w:eastAsia="Palatino" w:hAnsi="Palatino"/>
          <w:b w:val="1"/>
          <w:bCs w:val="1"/>
          <w:i w:val="1"/>
          <w:iCs w:val="1"/>
          <w:smallCaps w:val="0"/>
          <w:strike w:val="0"/>
          <w:color w:val="000000"/>
          <w:sz w:val="21"/>
          <w:szCs w:val="21"/>
          <w:u w:val="none"/>
          <w:shd w:fill="auto" w:val="clear"/>
          <w:vertAlign w:val="baseline"/>
        </w:rPr>
      </w:pPr>
      <w:r w:rsidDel="00000000" w:rsidR="00000000" w:rsidRPr="00000000">
        <w:rPr>
          <w:rFonts w:ascii="Palatino" w:cs="Palatino" w:eastAsia="Palatino" w:hAnsi="Palatino"/>
          <w:b w:val="1"/>
          <w:bCs w:val="1"/>
          <w:i w:val="1"/>
          <w:iCs w:val="1"/>
          <w:smallCaps w:val="0"/>
          <w:strike w:val="0"/>
          <w:color w:val="000000"/>
          <w:sz w:val="21"/>
          <w:szCs w:val="21"/>
          <w:u w:val="none"/>
          <w:shd w:fill="auto" w:val="clear"/>
          <w:vertAlign w:val="baseline"/>
          <w:rtl w:val="0"/>
        </w:rPr>
        <w:t xml:space="preserve">4. Collective Decisionmaking</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With their research in hand, the students met with the full membership of the Asociación. At least sixty vendors were in attendance at the evening session held at the Labor Center. The students discussed the evolution of the Los Angeles ordinance and presented their legal research on potential claims. As a group, the vendors recounted ongoing problems that they were having in operating their trucks and discussed their options for addressing the mounting enforcement problem.</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the conversation that followed, several strategies for addressing the situation emerged. One alternative was to work with city officials and other stakeholders to amend the law. This was seen as a prudent strategy that would allow the members to not only address the current crisis, but also enable them to react effectively to other legal and political challenges that may emerge down the road. Continuing with the education campaign that was already underway was also important to the group. Through public education, they could demystify some of the misleading stereotypes about vendors by promoting the positive contributions that mobile vendors have made to Los Angeles food and culture.</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group spent a good deal of time discussing with the students the proper role of the law in their organizing work. In particular, the members considered involving the clinic and pro bono lawyers more directly in mounting a legal challenge to the ordinance. As the students explained, the organization could file an affirmative suit against the city seeking to enjoin enforcement of the law. Alternatively, the vendors could pursue a more individualized challenge to the law by appealing members’ individual parking tickets. By requesting administrative review before a hearing examiner to determine the legality of their tickets, vendors could challenge any facial inadequacies in the written tickets. At the same time, they could potentially raise broader claims rooted in the illegitimacy of the ordinance and its enforcement. Given the high number of vendors affected by the durational restriction, some members suggested that the organization might invest in training its members to represent themselves pro se in administrative appeals of their parking tickets.</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After discussing these topics for a few hours, the members of the Asociación explained that their primary concern was that the group not be distracted from its organizing mission by a protracted legal battle. Although a legal victory was undeniably a goal for the membership, simply invalidating the current ordinance could not ensure their future protection from similar problems created by revisions to the municipal code. Therefore, the members believed it was preferable to limit their overall organizational commitment to litigation so that they would have sufficient time for other organizational objectives, such as promoting a positive image of catering vendors, building their core leadership, and working with local stakeholders to draft truck-friendly laws.</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Ultimately, citing concerns that involving too many members in a legal challenge would distract the membership from its organizing mission, the organization asked the clinic to pursue a single member’s case to test the validity of the law. The Asociación chose a member who had been particularly affected by the ordinance — Francisco González — to be the clinic’s client. As the leadership of the Asociación explained, González’s situation was representative of the experience of the group’s membership. Over the past year, he received so many tickets under the durational restriction that he was on the verge of abandoning his once-successful East Los Angeles business. Although he was not a member of the leadership of the Asociación, he agreed to participate actively in his own defense, attend regular membership meetings, and keep the organization updated on the progress in his case.</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B. The Individual Phase: Defending the Test Case</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clinic’s role had now shifted from advising the group to defending an individual client. As a result, the students needed to remain especially vigilant of their responsibility to not allow the interests of the group to interfere with their zealous advocacy on behalf of their individual client. With their obligations to their client in mind, the students went to work developing a legal strategy.</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clinic’s commitment to a client-centered approach to representation required us to pose directly to our client the question of which claims to pursue. As lawyers-in-training, the students’ job was to advise their client so that he could meaningfully participate in the decision. The students therefore took care in counseling their client on the various claims that he might raise in an appeal of his numerous parking tickets.</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Much time was spent discussing the possibility of a preemption claim, which González firmly supported including in the litigation. First and foremost, he was swayed by the fact that a similar ordinance adopted by Los Angeles County (and enforced in the unincorporated areas of the county) had recently been invalidated on state preemption grounds. Like the city, the county had imposed strict time limits on the parking of lunch trucks. The main difference between the city and the county restrictions was that county violations could also be prosecuted as misdemeanors. When long-time vendor Margarita Garcia found herself facing up to six months in jail, her lawyer (in fact, the same lawyer who defended Ala Carte Catering Company three decades earlier) succeeded in having the charge dismissed based on the rationale that the county had overstepped its authority in creating a parking restriction that did not promote public safety. González, like other members of his organization, believed it was important to build on the momentum of Garcia’s recent triumph.</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With respect to the race claim, González worried that its inclusion could potentially delay the litigation — especially if the city were to mount a vigorous defense. Speedy resolution was a critical concern for González, given that the tickets he received with each passing day drove him closer to losing his business. González also wondered if alleging that the city’s enforcement was racially discriminatory might risk associating his organization with what some might perceive as a controversial claim. Ultimately, given the concerns raised by the client and problems of proof that the students anticipated, a race-based equal protection claim was omitted.</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At the end of the semester, the students argued González’s appeal before Los Angeles Superior Court Commissioner Barry D. Kohn, who agreed that the ordinance was not based upon public safety and thus was preempted by state law. As a result of this ruling, Francisco González received a refund of his remaining tickets. At the same time, he won the legal victory his organization hoped for — a finding that the law was unconstitutional.</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II. Implications for Clinics and Practice</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A. Individual Clients and Law Reform</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First, the clinic’s work on the lonchero case highlights how criminal defense lawyers, despite their necessary focus on individual client representation in court, do at times harness their skills to play a role in law reform efforts. The test case concept employed by the Asociación — while familiar in the academic literature on cause lawyering — has received less scholarly attention in the context of criminal practice. However, coordinating individual defense with legal reform has important historical and contemporary applications for criminal defense lawyers.</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C. Defenders and Community</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[T]he community orientation of the clinic’s work with the loncheros also pushed the students beyond the traditional courtroom practice norm. In particular, the students’ involvement in the community campaign exposed them to a range of advocacy skills, including organizing, community education, and institutional advocacy. A key lesson for the students was to understand how their traditional skills (i.e., litigation) informed and enriched the advocacy work of the group. For example, after receiving the decision from the Los Angeles hearing examiner, the students worked with the Asociación to train the group’s leadership to use the decision on behalf of the membership. Several members reported successfully applying these advocacy techniques to challenge the legitimacy of their own tickets.</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Later, after the superior court ruled, the students drafted a lay summary of the decision, which the Asociación used to educate its members on how to respond when approached by law enforcement while operating their trucks. Vendors reported that some officers were unaware of the group’s legal victory. Thus, through lay advocacy, members were able to avoid receiving new tickets in the first instance. This reinforced an important lesson of legal mobilization, which is that litigation may be most effective when it is supported by additional advocacy efforts to educate and implement.</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Such lessons are also important because the types of nonlitigation skills that the students employed are ones that some criminal lawyers actually use in practice. Increasingly, defense attorneys understand that community partnerships are important to both individual client advocacy and broader structural change. Prosecutors realize that involving community groups in crime prevention and discretionary decisionmaking will engender trust and aid in solving crime.</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Conclusion</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the two years that have passed since the durational restriction was invalidated, the Asociación has used its victory in the González case to advance its broader organizing mission. Among its many accomplishments, the Asociación has been credited with taking the lead in negotiations with the LAPD in the months that followed the Los Angeles Superior Court decision. In June 2009, as a result of the Asociación’s negotiations, the LAPD issued a directive to cease enforcing the durational restriction. Later, when some members continued to be harassed by certain officers, the Asociación again took action — issuing a press release criticizing the incidents and filing a complaint with the Board of Police Commissioners. More recently, the Asociación provided critical support to Los Angeles officials who proposed a new letter-grade system for taco trucks based on city health inspections. The Asociación’s popular support for the initiative helped pave the way for the rating system that is now in effect.</w:t>
      </w:r>
    </w:p>
    <w:p w:rsidR="00000000" w:rsidDel="00000000" w:rsidP="00000000" w:rsidRDefault="00000000" w:rsidRPr="00000000" w14:paraId="000000A7">
      <w:pPr>
        <w:keepNext w:val="0"/>
        <w:keepLines w:val="0"/>
        <w:pageBreakBefore w:val="0"/>
        <w:widowControl w:val="0"/>
        <w:pBdr>
          <w:top w:space="0" w:sz="0" w:val="nil"/>
          <w:left w:space="0" w:sz="0" w:val="nil"/>
          <w:bottom w:color="000000" w:space="0" w:sz="8" w:val="single"/>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Asociación has also continued to grow as an organization. In 2009 it obtained nonprofit status, becoming the first trade organization in Southern California dedicated to advancing the food truck industry. The UCLA Downtown Labor Center and the National Day Laborer Organizing Network have provided ongoing support for the Asociación’s leadership. The organization now has approximately three hundred members, including forty core members and a full-time executive director who coordinates the group’s daily work. As new debates over regulation of Los Angeles lunch trucks emerge, the strength of this grassroots group of entrepreneurs will continue to provide a voice for the interests of traditional catering vendors in Los Angeles.</w:t>
      </w:r>
    </w:p>
    <w:p w:rsidR="00000000" w:rsidDel="00000000" w:rsidP="00000000" w:rsidRDefault="00000000" w:rsidRPr="00000000" w14:paraId="000000A8">
      <w:pPr>
        <w:keepNext w:val="1"/>
        <w:keepLines w:val="1"/>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480" w:line="278.00000000000006" w:lineRule="auto"/>
        <w:ind w:left="0" w:right="0" w:firstLine="0"/>
        <w:jc w:val="center"/>
        <w:rPr>
          <w:rFonts w:ascii="Palatino" w:cs="Palatino" w:eastAsia="Palatino" w:hAnsi="Palatino"/>
          <w:b w:val="1"/>
          <w:bCs w:val="1"/>
          <w:i w:val="0"/>
          <w:iCs w:val="0"/>
          <w:smallCaps w:val="1"/>
          <w:strike w:val="0"/>
          <w:color w:val="000000"/>
          <w:sz w:val="24"/>
          <w:szCs w:val="24"/>
          <w:u w:val="none"/>
          <w:shd w:fill="auto" w:val="clear"/>
          <w:vertAlign w:val="baseline"/>
        </w:rPr>
      </w:pPr>
      <w:r w:rsidDel="00000000" w:rsidR="00000000" w:rsidRPr="00000000">
        <w:rPr>
          <w:rFonts w:ascii="Palatino" w:cs="Palatino" w:eastAsia="Palatino" w:hAnsi="Palatino"/>
          <w:b w:val="1"/>
          <w:bCs w:val="1"/>
          <w:i w:val="0"/>
          <w:iCs w:val="0"/>
          <w:smallCaps w:val="1"/>
          <w:strike w:val="0"/>
          <w:color w:val="000000"/>
          <w:sz w:val="24"/>
          <w:szCs w:val="24"/>
          <w:u w:val="none"/>
          <w:shd w:fill="auto" w:val="clear"/>
          <w:vertAlign w:val="baseline"/>
          <w:rtl w:val="0"/>
        </w:rPr>
        <w:t xml:space="preserve">NOTES AND QUESTIONS</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1.</w:t>
        <w:tab/>
        <w:t xml:space="preserve">What are the noteworthy strategies used by Professor Eagley’s clinic students?</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2.</w:t>
        <w:tab/>
        <w:t xml:space="preserve">What do the approaches from Su, Yen, Eagley, and the ILRC have in common? Respect for clients, working with clients, collaboration with allies, taking on big challenges?</w:t>
      </w:r>
    </w:p>
    <w:p w:rsidR="00000000" w:rsidDel="00000000" w:rsidP="00000000" w:rsidRDefault="00000000" w:rsidRPr="00000000" w14:paraId="000000A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ptos"/>
  <w:font w:name="Play">
    <w:embedRegular w:fontKey="{00000000-0000-0000-0000-000000000000}" r:id="rId1" w:subsetted="0"/>
    <w:embedBold w:fontKey="{00000000-0000-0000-0000-000000000000}" r:id="rId2" w:subsetted="0"/>
  </w:font>
  <w:font w:name="Palatino">
    <w:altName w:val="Book Antiqua"/>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A1049F"/>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A1049F"/>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A1049F"/>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A1049F"/>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A1049F"/>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A1049F"/>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A1049F"/>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A1049F"/>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A1049F"/>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A1049F"/>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A1049F"/>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A1049F"/>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A1049F"/>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A1049F"/>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A1049F"/>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A1049F"/>
    <w:rPr>
      <w:i w:val="1"/>
      <w:iCs w:val="1"/>
      <w:color w:val="404040" w:themeColor="text1" w:themeTint="0000BF"/>
    </w:rPr>
  </w:style>
  <w:style w:type="paragraph" w:styleId="ListParagraph">
    <w:name w:val="List Paragraph"/>
    <w:basedOn w:val="Normal"/>
    <w:uiPriority w:val="34"/>
    <w:qFormat w:val="1"/>
    <w:rsid w:val="00A1049F"/>
    <w:pPr>
      <w:ind w:left="720"/>
      <w:contextualSpacing w:val="1"/>
    </w:pPr>
  </w:style>
  <w:style w:type="character" w:styleId="IntenseEmphasis">
    <w:name w:val="Intense Emphasis"/>
    <w:basedOn w:val="DefaultParagraphFont"/>
    <w:uiPriority w:val="21"/>
    <w:qFormat w:val="1"/>
    <w:rsid w:val="00A1049F"/>
    <w:rPr>
      <w:i w:val="1"/>
      <w:iCs w:val="1"/>
      <w:color w:val="0f4761" w:themeColor="accent1" w:themeShade="0000BF"/>
    </w:rPr>
  </w:style>
  <w:style w:type="paragraph" w:styleId="IntenseQuote">
    <w:name w:val="Intense Quote"/>
    <w:basedOn w:val="Normal"/>
    <w:next w:val="Normal"/>
    <w:link w:val="IntenseQuoteChar"/>
    <w:uiPriority w:val="30"/>
    <w:qFormat w:val="1"/>
    <w:rsid w:val="00A1049F"/>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A1049F"/>
    <w:rPr>
      <w:i w:val="1"/>
      <w:iCs w:val="1"/>
      <w:color w:val="0f4761" w:themeColor="accent1" w:themeShade="0000BF"/>
    </w:rPr>
  </w:style>
  <w:style w:type="character" w:styleId="IntenseReference">
    <w:name w:val="Intense Reference"/>
    <w:basedOn w:val="DefaultParagraphFont"/>
    <w:uiPriority w:val="32"/>
    <w:qFormat w:val="1"/>
    <w:rsid w:val="00A1049F"/>
    <w:rPr>
      <w:b w:val="1"/>
      <w:bCs w:val="1"/>
      <w:smallCaps w:val="1"/>
      <w:color w:val="0f4761" w:themeColor="accent1" w:themeShade="0000BF"/>
      <w:spacing w:val="5"/>
    </w:rPr>
  </w:style>
  <w:style w:type="paragraph" w:styleId="TXNI" w:customStyle="1">
    <w:name w:val="TXNI"/>
    <w:basedOn w:val="Normal"/>
    <w:uiPriority w:val="99"/>
    <w:rsid w:val="00A1049F"/>
    <w:pPr>
      <w:widowControl w:val="0"/>
      <w:tabs>
        <w:tab w:val="left" w:pos="300"/>
      </w:tabs>
      <w:suppressAutoHyphens w:val="1"/>
      <w:autoSpaceDE w:val="0"/>
      <w:autoSpaceDN w:val="0"/>
      <w:adjustRightInd w:val="0"/>
      <w:spacing w:after="0" w:line="260" w:lineRule="atLeast"/>
      <w:jc w:val="both"/>
      <w:textAlignment w:val="center"/>
    </w:pPr>
    <w:rPr>
      <w:rFonts w:ascii="PalatinoLTStd-Roman" w:cs="PalatinoLTStd-Roman" w:hAnsi="PalatinoLTStd-Roman" w:eastAsiaTheme="minorEastAsia"/>
      <w:color w:val="000000"/>
      <w:kern w:val="0"/>
      <w:sz w:val="21"/>
      <w:szCs w:val="21"/>
      <w:lang w:eastAsia="en-IN"/>
    </w:rPr>
  </w:style>
  <w:style w:type="paragraph" w:styleId="TXT" w:customStyle="1">
    <w:name w:val="TXT"/>
    <w:basedOn w:val="Normal"/>
    <w:uiPriority w:val="99"/>
    <w:rsid w:val="00A1049F"/>
    <w:pPr>
      <w:widowControl w:val="0"/>
      <w:tabs>
        <w:tab w:val="left" w:pos="300"/>
      </w:tabs>
      <w:suppressAutoHyphens w:val="1"/>
      <w:autoSpaceDE w:val="0"/>
      <w:autoSpaceDN w:val="0"/>
      <w:adjustRightInd w:val="0"/>
      <w:spacing w:after="0" w:line="260" w:lineRule="atLeast"/>
      <w:ind w:firstLine="300"/>
      <w:jc w:val="both"/>
      <w:textAlignment w:val="center"/>
    </w:pPr>
    <w:rPr>
      <w:rFonts w:ascii="PalatinoLTStd-Roman" w:cs="PalatinoLTStd-Roman" w:hAnsi="PalatinoLTStd-Roman" w:eastAsiaTheme="minorEastAsia"/>
      <w:color w:val="000000"/>
      <w:kern w:val="0"/>
      <w:sz w:val="21"/>
      <w:szCs w:val="21"/>
      <w:lang w:eastAsia="en-IN"/>
    </w:rPr>
  </w:style>
  <w:style w:type="paragraph" w:styleId="CASEH1verso" w:customStyle="1">
    <w:name w:val="CASE_H1_verso"/>
    <w:basedOn w:val="Normal"/>
    <w:uiPriority w:val="99"/>
    <w:rsid w:val="00A1049F"/>
    <w:pPr>
      <w:widowControl w:val="0"/>
      <w:pBdr>
        <w:top w:color="a73439" w:space="28" w:sz="4" w:val="single"/>
      </w:pBdr>
      <w:tabs>
        <w:tab w:val="left" w:pos="300"/>
      </w:tabs>
      <w:suppressAutoHyphens w:val="1"/>
      <w:autoSpaceDE w:val="0"/>
      <w:autoSpaceDN w:val="0"/>
      <w:adjustRightInd w:val="0"/>
      <w:spacing w:after="0" w:before="480" w:line="280" w:lineRule="atLeast"/>
      <w:jc w:val="center"/>
      <w:textAlignment w:val="center"/>
    </w:pPr>
    <w:rPr>
      <w:rFonts w:ascii="PalatinoLTStd-MediumItalic" w:cs="PalatinoLTStd-MediumItalic" w:hAnsi="PalatinoLTStd-MediumItalic" w:eastAsiaTheme="minorEastAsia"/>
      <w:i w:val="1"/>
      <w:iCs w:val="1"/>
      <w:color w:val="a73439"/>
      <w:kern w:val="0"/>
      <w:sz w:val="25"/>
      <w:szCs w:val="25"/>
      <w:lang w:eastAsia="en-IN"/>
    </w:rPr>
  </w:style>
  <w:style w:type="paragraph" w:styleId="CASEH2" w:customStyle="1">
    <w:name w:val="CASE_H2"/>
    <w:basedOn w:val="Normal"/>
    <w:uiPriority w:val="99"/>
    <w:rsid w:val="00A1049F"/>
    <w:pPr>
      <w:widowControl w:val="0"/>
      <w:tabs>
        <w:tab w:val="left" w:pos="300"/>
      </w:tabs>
      <w:suppressAutoHyphens w:val="1"/>
      <w:autoSpaceDE w:val="0"/>
      <w:autoSpaceDN w:val="0"/>
      <w:adjustRightInd w:val="0"/>
      <w:spacing w:after="180" w:line="220" w:lineRule="atLeast"/>
      <w:jc w:val="center"/>
      <w:textAlignment w:val="center"/>
    </w:pPr>
    <w:rPr>
      <w:rFonts w:ascii="MyriadPro-Regular" w:cs="MyriadPro-Regular" w:hAnsi="MyriadPro-Regular" w:eastAsiaTheme="minorEastAsia"/>
      <w:color w:val="a73439"/>
      <w:kern w:val="0"/>
      <w:sz w:val="19"/>
      <w:szCs w:val="19"/>
      <w:lang w:eastAsia="en-IN"/>
    </w:rPr>
  </w:style>
  <w:style w:type="paragraph" w:styleId="CASETXNI" w:customStyle="1">
    <w:name w:val="CASE_TXNI"/>
    <w:basedOn w:val="Normal"/>
    <w:uiPriority w:val="99"/>
    <w:rsid w:val="00A1049F"/>
    <w:pPr>
      <w:widowControl w:val="0"/>
      <w:tabs>
        <w:tab w:val="left" w:pos="300"/>
      </w:tabs>
      <w:suppressAutoHyphens w:val="1"/>
      <w:autoSpaceDE w:val="0"/>
      <w:autoSpaceDN w:val="0"/>
      <w:adjustRightInd w:val="0"/>
      <w:spacing w:after="0" w:line="260" w:lineRule="atLeast"/>
      <w:jc w:val="both"/>
      <w:textAlignment w:val="center"/>
    </w:pPr>
    <w:rPr>
      <w:rFonts w:ascii="PalatinoLTStd-Roman" w:cs="PalatinoLTStd-Roman" w:hAnsi="PalatinoLTStd-Roman" w:eastAsiaTheme="minorEastAsia"/>
      <w:color w:val="000000"/>
      <w:kern w:val="0"/>
      <w:sz w:val="21"/>
      <w:szCs w:val="21"/>
      <w:lang w:eastAsia="en-IN"/>
    </w:rPr>
  </w:style>
  <w:style w:type="paragraph" w:styleId="CASETXT" w:customStyle="1">
    <w:name w:val="CASE_TXT"/>
    <w:basedOn w:val="Normal"/>
    <w:uiPriority w:val="99"/>
    <w:rsid w:val="00A1049F"/>
    <w:pPr>
      <w:widowControl w:val="0"/>
      <w:tabs>
        <w:tab w:val="left" w:pos="300"/>
      </w:tabs>
      <w:suppressAutoHyphens w:val="1"/>
      <w:autoSpaceDE w:val="0"/>
      <w:autoSpaceDN w:val="0"/>
      <w:adjustRightInd w:val="0"/>
      <w:spacing w:after="0" w:line="260" w:lineRule="atLeast"/>
      <w:ind w:firstLine="300"/>
      <w:jc w:val="both"/>
      <w:textAlignment w:val="center"/>
    </w:pPr>
    <w:rPr>
      <w:rFonts w:ascii="PalatinoLTStd-Roman" w:cs="PalatinoLTStd-Roman" w:hAnsi="PalatinoLTStd-Roman" w:eastAsiaTheme="minorEastAsia"/>
      <w:color w:val="000000"/>
      <w:kern w:val="0"/>
      <w:sz w:val="21"/>
      <w:szCs w:val="21"/>
      <w:lang w:eastAsia="en-IN"/>
    </w:rPr>
  </w:style>
  <w:style w:type="paragraph" w:styleId="CASEH4" w:customStyle="1">
    <w:name w:val="CASE_H4"/>
    <w:basedOn w:val="Normal"/>
    <w:uiPriority w:val="99"/>
    <w:rsid w:val="00A1049F"/>
    <w:pPr>
      <w:widowControl w:val="0"/>
      <w:tabs>
        <w:tab w:val="left" w:pos="300"/>
      </w:tabs>
      <w:suppressAutoHyphens w:val="1"/>
      <w:autoSpaceDE w:val="0"/>
      <w:autoSpaceDN w:val="0"/>
      <w:adjustRightInd w:val="0"/>
      <w:spacing w:after="120" w:before="180" w:line="260" w:lineRule="atLeast"/>
      <w:jc w:val="center"/>
      <w:textAlignment w:val="center"/>
    </w:pPr>
    <w:rPr>
      <w:rFonts w:ascii="PalatinoLTStd-Bold" w:cs="PalatinoLTStd-Bold" w:hAnsi="PalatinoLTStd-Bold" w:eastAsiaTheme="minorEastAsia"/>
      <w:b w:val="1"/>
      <w:bCs w:val="1"/>
      <w:color w:val="000000"/>
      <w:kern w:val="0"/>
      <w:sz w:val="22"/>
      <w:szCs w:val="22"/>
      <w:lang w:eastAsia="en-IN"/>
    </w:rPr>
  </w:style>
  <w:style w:type="paragraph" w:styleId="CASETXNIrulerecto" w:customStyle="1">
    <w:name w:val="CASE_TXNI_rule_recto"/>
    <w:basedOn w:val="Normal"/>
    <w:uiPriority w:val="99"/>
    <w:rsid w:val="00A1049F"/>
    <w:pPr>
      <w:widowControl w:val="0"/>
      <w:pBdr>
        <w:bottom w:color="auto" w:space="0" w:sz="8" w:val="single"/>
      </w:pBdr>
      <w:tabs>
        <w:tab w:val="left" w:pos="300"/>
      </w:tabs>
      <w:suppressAutoHyphens w:val="1"/>
      <w:autoSpaceDE w:val="0"/>
      <w:autoSpaceDN w:val="0"/>
      <w:adjustRightInd w:val="0"/>
      <w:spacing w:after="0" w:line="260" w:lineRule="atLeast"/>
      <w:jc w:val="both"/>
      <w:textAlignment w:val="center"/>
    </w:pPr>
    <w:rPr>
      <w:rFonts w:ascii="PalatinoLTStd-Roman" w:cs="PalatinoLTStd-Roman" w:hAnsi="PalatinoLTStd-Roman" w:eastAsiaTheme="minorEastAsia"/>
      <w:color w:val="000000"/>
      <w:kern w:val="0"/>
      <w:sz w:val="21"/>
      <w:szCs w:val="21"/>
      <w:lang w:eastAsia="en-IN"/>
    </w:rPr>
  </w:style>
  <w:style w:type="paragraph" w:styleId="NEPQH1" w:customStyle="1">
    <w:name w:val="NEPQ_H1"/>
    <w:basedOn w:val="Normal"/>
    <w:uiPriority w:val="99"/>
    <w:rsid w:val="00A1049F"/>
    <w:pPr>
      <w:keepNext w:val="1"/>
      <w:keepLines w:val="1"/>
      <w:widowControl w:val="0"/>
      <w:tabs>
        <w:tab w:val="left" w:pos="300"/>
      </w:tabs>
      <w:suppressAutoHyphens w:val="1"/>
      <w:autoSpaceDE w:val="0"/>
      <w:autoSpaceDN w:val="0"/>
      <w:adjustRightInd w:val="0"/>
      <w:spacing w:after="120" w:before="480" w:line="260" w:lineRule="atLeast"/>
      <w:jc w:val="center"/>
      <w:textAlignment w:val="center"/>
    </w:pPr>
    <w:rPr>
      <w:rFonts w:ascii="PalatinoLTStd-Bold" w:cs="PalatinoLTStd-Bold" w:hAnsi="PalatinoLTStd-Bold" w:eastAsiaTheme="minorEastAsia"/>
      <w:b w:val="1"/>
      <w:bCs w:val="1"/>
      <w:caps w:val="1"/>
      <w:color w:val="a73439"/>
      <w:kern w:val="0"/>
      <w:lang w:eastAsia="en-IN"/>
    </w:rPr>
  </w:style>
  <w:style w:type="paragraph" w:styleId="NEPQNL1mid" w:customStyle="1">
    <w:name w:val="NEPQ_NL1_mid"/>
    <w:basedOn w:val="Normal"/>
    <w:uiPriority w:val="99"/>
    <w:rsid w:val="00A1049F"/>
    <w:pPr>
      <w:widowControl w:val="0"/>
      <w:tabs>
        <w:tab w:val="right" w:pos="480"/>
      </w:tabs>
      <w:suppressAutoHyphens w:val="1"/>
      <w:autoSpaceDE w:val="0"/>
      <w:autoSpaceDN w:val="0"/>
      <w:adjustRightInd w:val="0"/>
      <w:spacing w:after="0" w:line="260" w:lineRule="atLeast"/>
      <w:ind w:left="600" w:hanging="300"/>
      <w:jc w:val="both"/>
      <w:textAlignment w:val="center"/>
    </w:pPr>
    <w:rPr>
      <w:rFonts w:ascii="PalatinoLTStd-Roman" w:cs="PalatinoLTStd-Roman" w:hAnsi="PalatinoLTStd-Roman" w:eastAsiaTheme="minorEastAsia"/>
      <w:color w:val="000000"/>
      <w:kern w:val="0"/>
      <w:sz w:val="21"/>
      <w:szCs w:val="21"/>
      <w:lang w:eastAsia="en-IN"/>
    </w:rPr>
  </w:style>
  <w:style w:type="paragraph" w:styleId="H2" w:customStyle="1">
    <w:name w:val="H2"/>
    <w:basedOn w:val="Normal"/>
    <w:uiPriority w:val="99"/>
    <w:rsid w:val="00A1049F"/>
    <w:pPr>
      <w:keepNext w:val="1"/>
      <w:keepLines w:val="1"/>
      <w:widowControl w:val="0"/>
      <w:tabs>
        <w:tab w:val="left" w:pos="300"/>
      </w:tabs>
      <w:suppressAutoHyphens w:val="1"/>
      <w:autoSpaceDE w:val="0"/>
      <w:autoSpaceDN w:val="0"/>
      <w:adjustRightInd w:val="0"/>
      <w:spacing w:after="120" w:before="300" w:line="280" w:lineRule="atLeast"/>
      <w:textAlignment w:val="center"/>
    </w:pPr>
    <w:rPr>
      <w:rFonts w:ascii="PalatinoLTStd-Bold" w:cs="PalatinoLTStd-Bold" w:hAnsi="PalatinoLTStd-Bold" w:eastAsiaTheme="minorEastAsia"/>
      <w:b w:val="1"/>
      <w:bCs w:val="1"/>
      <w:color w:val="a73439"/>
      <w:kern w:val="0"/>
      <w:sz w:val="25"/>
      <w:szCs w:val="25"/>
      <w:lang w:eastAsia="en-IN"/>
    </w:rPr>
  </w:style>
  <w:style w:type="paragraph" w:styleId="EXT" w:customStyle="1">
    <w:name w:val="EXT"/>
    <w:basedOn w:val="Normal"/>
    <w:uiPriority w:val="99"/>
    <w:rsid w:val="00A1049F"/>
    <w:pPr>
      <w:widowControl w:val="0"/>
      <w:tabs>
        <w:tab w:val="left" w:pos="600"/>
      </w:tabs>
      <w:suppressAutoHyphens w:val="1"/>
      <w:autoSpaceDE w:val="0"/>
      <w:autoSpaceDN w:val="0"/>
      <w:adjustRightInd w:val="0"/>
      <w:spacing w:after="120" w:before="120" w:line="220" w:lineRule="atLeast"/>
      <w:ind w:left="300" w:right="300"/>
      <w:jc w:val="both"/>
      <w:textAlignment w:val="center"/>
    </w:pPr>
    <w:rPr>
      <w:rFonts w:ascii="PalatinoLTStd-Roman" w:cs="PalatinoLTStd-Roman" w:hAnsi="PalatinoLTStd-Roman" w:eastAsiaTheme="minorEastAsia"/>
      <w:color w:val="000000"/>
      <w:kern w:val="0"/>
      <w:sz w:val="19"/>
      <w:szCs w:val="19"/>
      <w:lang w:eastAsia="en-IN"/>
    </w:rPr>
  </w:style>
  <w:style w:type="paragraph" w:styleId="CASEH5" w:customStyle="1">
    <w:name w:val="CASE_H5"/>
    <w:basedOn w:val="Normal"/>
    <w:uiPriority w:val="99"/>
    <w:rsid w:val="00A1049F"/>
    <w:pPr>
      <w:widowControl w:val="0"/>
      <w:tabs>
        <w:tab w:val="left" w:pos="300"/>
      </w:tabs>
      <w:suppressAutoHyphens w:val="1"/>
      <w:autoSpaceDE w:val="0"/>
      <w:autoSpaceDN w:val="0"/>
      <w:adjustRightInd w:val="0"/>
      <w:spacing w:after="120" w:before="180" w:line="260" w:lineRule="atLeast"/>
      <w:jc w:val="center"/>
      <w:textAlignment w:val="center"/>
    </w:pPr>
    <w:rPr>
      <w:rFonts w:ascii="PalatinoLTStd-Medium" w:cs="PalatinoLTStd-Medium" w:hAnsi="PalatinoLTStd-Medium" w:eastAsiaTheme="minorEastAsia"/>
      <w:color w:val="000000"/>
      <w:kern w:val="0"/>
      <w:sz w:val="22"/>
      <w:szCs w:val="22"/>
      <w:lang w:eastAsia="en-IN"/>
    </w:rPr>
  </w:style>
  <w:style w:type="paragraph" w:styleId="CASEH1recto" w:customStyle="1">
    <w:name w:val="CASE_H1_recto"/>
    <w:basedOn w:val="Normal"/>
    <w:uiPriority w:val="99"/>
    <w:rsid w:val="00A1049F"/>
    <w:pPr>
      <w:widowControl w:val="0"/>
      <w:pBdr>
        <w:top w:color="a73439" w:space="28" w:sz="4" w:val="single"/>
      </w:pBdr>
      <w:tabs>
        <w:tab w:val="left" w:pos="300"/>
      </w:tabs>
      <w:suppressAutoHyphens w:val="1"/>
      <w:autoSpaceDE w:val="0"/>
      <w:autoSpaceDN w:val="0"/>
      <w:adjustRightInd w:val="0"/>
      <w:spacing w:after="0" w:before="480" w:line="280" w:lineRule="atLeast"/>
      <w:jc w:val="center"/>
      <w:textAlignment w:val="center"/>
    </w:pPr>
    <w:rPr>
      <w:rFonts w:ascii="PalatinoLTStd-MediumItalic" w:cs="PalatinoLTStd-MediumItalic" w:hAnsi="PalatinoLTStd-MediumItalic" w:eastAsiaTheme="minorEastAsia"/>
      <w:i w:val="1"/>
      <w:iCs w:val="1"/>
      <w:color w:val="a73439"/>
      <w:kern w:val="0"/>
      <w:sz w:val="25"/>
      <w:szCs w:val="25"/>
      <w:lang w:eastAsia="en-IN"/>
    </w:rPr>
  </w:style>
  <w:style w:type="paragraph" w:styleId="CASEH6" w:customStyle="1">
    <w:name w:val="CASE_H6"/>
    <w:basedOn w:val="Normal"/>
    <w:uiPriority w:val="99"/>
    <w:rsid w:val="00A1049F"/>
    <w:pPr>
      <w:widowControl w:val="0"/>
      <w:tabs>
        <w:tab w:val="left" w:pos="300"/>
      </w:tabs>
      <w:suppressAutoHyphens w:val="1"/>
      <w:autoSpaceDE w:val="0"/>
      <w:autoSpaceDN w:val="0"/>
      <w:adjustRightInd w:val="0"/>
      <w:spacing w:after="60" w:before="120" w:line="260" w:lineRule="atLeast"/>
      <w:jc w:val="both"/>
      <w:textAlignment w:val="center"/>
    </w:pPr>
    <w:rPr>
      <w:rFonts w:ascii="PalatinoLTStd-BoldItalic" w:cs="PalatinoLTStd-BoldItalic" w:hAnsi="PalatinoLTStd-BoldItalic" w:eastAsiaTheme="minorEastAsia"/>
      <w:b w:val="1"/>
      <w:bCs w:val="1"/>
      <w:i w:val="1"/>
      <w:iCs w:val="1"/>
      <w:color w:val="000000"/>
      <w:kern w:val="0"/>
      <w:sz w:val="21"/>
      <w:szCs w:val="21"/>
      <w:lang w:eastAsia="en-IN"/>
    </w:rPr>
  </w:style>
  <w:style w:type="paragraph" w:styleId="EXTlast" w:customStyle="1">
    <w:name w:val="EXT_last"/>
    <w:basedOn w:val="Normal"/>
    <w:uiPriority w:val="99"/>
    <w:rsid w:val="00A1049F"/>
    <w:pPr>
      <w:widowControl w:val="0"/>
      <w:tabs>
        <w:tab w:val="left" w:pos="600"/>
      </w:tabs>
      <w:suppressAutoHyphens w:val="1"/>
      <w:autoSpaceDE w:val="0"/>
      <w:autoSpaceDN w:val="0"/>
      <w:adjustRightInd w:val="0"/>
      <w:spacing w:after="120" w:line="220" w:lineRule="atLeast"/>
      <w:ind w:left="300" w:right="300"/>
      <w:jc w:val="both"/>
      <w:textAlignment w:val="center"/>
    </w:pPr>
    <w:rPr>
      <w:rFonts w:ascii="PalatinoLTStd-Roman" w:cs="PalatinoLTStd-Roman" w:hAnsi="PalatinoLTStd-Roman" w:eastAsiaTheme="minorEastAsia"/>
      <w:color w:val="000000"/>
      <w:kern w:val="0"/>
      <w:sz w:val="19"/>
      <w:szCs w:val="19"/>
      <w:lang w:eastAsia="en-IN"/>
    </w:rPr>
  </w:style>
  <w:style w:type="paragraph" w:styleId="NEPQNL1last" w:customStyle="1">
    <w:name w:val="NEPQ_NL1_last"/>
    <w:basedOn w:val="Normal"/>
    <w:uiPriority w:val="99"/>
    <w:rsid w:val="00A1049F"/>
    <w:pPr>
      <w:widowControl w:val="0"/>
      <w:tabs>
        <w:tab w:val="right" w:pos="480"/>
      </w:tabs>
      <w:suppressAutoHyphens w:val="1"/>
      <w:autoSpaceDE w:val="0"/>
      <w:autoSpaceDN w:val="0"/>
      <w:adjustRightInd w:val="0"/>
      <w:spacing w:after="120" w:line="260" w:lineRule="atLeast"/>
      <w:ind w:left="600" w:hanging="300"/>
      <w:jc w:val="both"/>
      <w:textAlignment w:val="center"/>
    </w:pPr>
    <w:rPr>
      <w:rFonts w:ascii="PalatinoLTStd-Roman" w:cs="PalatinoLTStd-Roman" w:hAnsi="PalatinoLTStd-Roman" w:eastAsiaTheme="minorEastAsia"/>
      <w:color w:val="000000"/>
      <w:kern w:val="0"/>
      <w:sz w:val="21"/>
      <w:szCs w:val="21"/>
      <w:lang w:eastAsia="en-IN"/>
    </w:rPr>
  </w:style>
  <w:style w:type="character" w:styleId="x" w:customStyle="1">
    <w:name w:val="x"/>
    <w:uiPriority w:val="99"/>
    <w:rsid w:val="00A1049F"/>
    <w:rPr>
      <w:color w:val="000000"/>
      <w:w w:val="100"/>
    </w:rPr>
  </w:style>
  <w:style w:type="character" w:styleId="ITALIC" w:customStyle="1">
    <w:name w:val="ITALIC"/>
    <w:uiPriority w:val="99"/>
    <w:rsid w:val="00A1049F"/>
    <w:rPr>
      <w:i w:val="1"/>
      <w:color w:val="000000"/>
      <w:w w:val="100"/>
      <w:lang w:eastAsia="x-none" w:val="en-US"/>
    </w:rPr>
  </w:style>
  <w:style w:type="character" w:styleId="H21" w:customStyle="1">
    <w:name w:val="H21"/>
    <w:uiPriority w:val="99"/>
    <w:rsid w:val="00A1049F"/>
    <w:rPr>
      <w:rFonts w:ascii="PalatinoLTStd-Bold" w:hAnsi="PalatinoLTStd-Bold"/>
      <w:b w:val="1"/>
      <w:color w:val="a73439"/>
      <w:w w:val="100"/>
      <w:lang w:eastAsia="x-none" w:val="en-US"/>
    </w:rPr>
  </w:style>
  <w:style w:type="character" w:styleId="CASEH41" w:customStyle="1">
    <w:name w:val="CASE_H41"/>
    <w:uiPriority w:val="99"/>
    <w:rsid w:val="00A1049F"/>
    <w:rPr>
      <w:rFonts w:ascii="PalatinoLTStd-Bold" w:hAnsi="PalatinoLTStd-Bold"/>
      <w:b w:val="1"/>
      <w:color w:val="000000"/>
      <w:w w:val="100"/>
      <w:lang w:eastAsia="x-none" w:val="en-US"/>
    </w:rPr>
  </w:style>
  <w:style w:type="character" w:styleId="NEPQNL1" w:customStyle="1">
    <w:name w:val="NEPQ_NL1"/>
    <w:uiPriority w:val="99"/>
    <w:rsid w:val="00A1049F"/>
    <w:rPr>
      <w:rFonts w:ascii="PalatinoLTStd-Roman" w:hAnsi="PalatinoLTStd-Roman"/>
      <w:color w:val="000000"/>
      <w:w w:val="100"/>
      <w:lang w:eastAsia="x-none" w:val="en-US"/>
    </w:rPr>
  </w:style>
  <w:style w:type="character" w:styleId="CASEH51" w:customStyle="1">
    <w:name w:val="CASE_H51"/>
    <w:uiPriority w:val="99"/>
    <w:rsid w:val="00A1049F"/>
    <w:rPr>
      <w:rFonts w:ascii="PalatinoLTStd-Medium" w:hAnsi="PalatinoLTStd-Medium"/>
      <w:color w:val="000000"/>
      <w:w w:val="100"/>
      <w:lang w:eastAsia="x-none" w:val="en-US"/>
    </w:rPr>
  </w:style>
  <w:style w:type="character" w:styleId="CASEH61" w:customStyle="1">
    <w:name w:val="CASE_H61"/>
    <w:uiPriority w:val="99"/>
    <w:rsid w:val="00A1049F"/>
    <w:rPr>
      <w:rFonts w:ascii="PalatinoLTStd-BoldItalic" w:hAnsi="PalatinoLTStd-BoldItalic"/>
      <w:b w:val="1"/>
      <w:i w:val="1"/>
      <w:color w:val="000000"/>
      <w:w w:val="100"/>
      <w:lang w:eastAsia="x-none" w:val="en-US"/>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4.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F8Cnx8ZTgrn5ntC5GbtC4T5Jjw==">CgMxLjA4AHIhMXpEODVvcUhxY2pNSm50M1FVY1ZwNEZwQWhEQWFFMW5O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D6FAE18D1336714AB9B410BDAC6FD748" ma:contentTypeVersion="12" ma:contentTypeDescription="Create a new document." ma:contentTypeScope="" ma:versionID="c83b5dfa15f4599c18a1a65fce38cb9b">
  <xsd:schema xmlns:xsd="http://www.w3.org/2001/XMLSchema" xmlns:xs="http://www.w3.org/2001/XMLSchema" xmlns:p="http://schemas.microsoft.com/office/2006/metadata/properties" xmlns:ns2="5041eee3-99e3-4b4c-bd80-eccf1ef4b2d3" xmlns:ns3="681b8b6f-1b57-476a-8dd6-80d1d09c59e1" targetNamespace="http://schemas.microsoft.com/office/2006/metadata/properties" ma:root="true" ma:fieldsID="fe9756aa161f4e54be82007aa4ed6a8f" ns2:_="" ns3:_="">
    <xsd:import namespace="5041eee3-99e3-4b4c-bd80-eccf1ef4b2d3"/>
    <xsd:import namespace="681b8b6f-1b57-476a-8dd6-80d1d09c59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1eee3-99e3-4b4c-bd80-eccf1ef4b2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0db18-5969-473e-a474-9ff3e4bd949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81b8b6f-1b57-476a-8dd6-80d1d09c59e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87748d5-3982-4bcf-9b58-1b02aee89c46}" ma:internalName="TaxCatchAll" ma:showField="CatchAllData" ma:web="681b8b6f-1b57-476a-8dd6-80d1d09c59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041eee3-99e3-4b4c-bd80-eccf1ef4b2d3">
      <Terms xmlns="http://schemas.microsoft.com/office/infopath/2007/PartnerControls"/>
    </lcf76f155ced4ddcb4097134ff3c332f>
    <TaxCatchAll xmlns="681b8b6f-1b57-476a-8dd6-80d1d09c59e1"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6F857060-CA87-4853-839F-4990EEB0B12D}"/>
</file>

<file path=customXML/itemProps3.xml><?xml version="1.0" encoding="utf-8"?>
<ds:datastoreItem xmlns:ds="http://schemas.openxmlformats.org/officeDocument/2006/customXml" ds:itemID="{C837CA36-B3C7-4802-9B10-8EB617B5FDBE}"/>
</file>

<file path=customXML/itemProps4.xml><?xml version="1.0" encoding="utf-8"?>
<ds:datastoreItem xmlns:ds="http://schemas.openxmlformats.org/officeDocument/2006/customXml" ds:itemID="{991F6C6D-ED94-4BB9-9D34-A79E051B44D1}"/>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Billie SFO</dc:creator>
  <dcterms:created xsi:type="dcterms:W3CDTF">2025-07-29T19:26:00Z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0x010100D6FAE18D1336714AB9B410BDAC6FD748</vt:lpwstr>
  </property>
</Properties>
</file>